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BridgeBio Oncology Therapeutics, Inc.</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001-41955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39-3690783</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4284"/>
        <w:spacing w:after="0"/>
        <w:rPr>
          <w:sz w:val="20"/>
          <w:szCs w:val="20"/>
          <w:color w:val="auto"/>
        </w:rPr>
      </w:pPr>
      <w:r>
        <w:rPr>
          <w:rFonts w:ascii="Times New Roman" w:cs="Times New Roman" w:eastAsia="Times New Roman" w:hAnsi="Times New Roman"/>
          <w:sz w:val="18"/>
          <w:szCs w:val="18"/>
          <w:b w:val="1"/>
          <w:bCs w:val="1"/>
          <w:color w:val="auto"/>
        </w:rPr>
        <w:t>256 E. Grand Avenue, Suite 104</w:t>
      </w:r>
    </w:p>
    <w:p>
      <w:pPr>
        <w:spacing w:after="0" w:line="31" w:lineRule="exact"/>
        <w:rPr>
          <w:sz w:val="24"/>
          <w:szCs w:val="24"/>
          <w:color w:val="auto"/>
        </w:rPr>
      </w:pPr>
    </w:p>
    <w:p>
      <w:pPr>
        <w:ind w:left="4304"/>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 405-4770</w:t>
      </w:r>
    </w:p>
    <w:p>
      <w:pPr>
        <w:spacing w:after="0" w:line="25" w:lineRule="exact"/>
        <w:rPr>
          <w:sz w:val="24"/>
          <w:szCs w:val="24"/>
          <w:color w:val="auto"/>
        </w:rPr>
      </w:pPr>
    </w:p>
    <w:p>
      <w:pPr>
        <w:ind w:left="3644"/>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186" w:lineRule="exact"/>
        <w:rPr>
          <w:sz w:val="24"/>
          <w:szCs w:val="24"/>
          <w:color w:val="auto"/>
        </w:rPr>
      </w:pPr>
    </w:p>
    <w:p>
      <w:pPr>
        <w:ind w:left="3584"/>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230505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BBOT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104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60" w:space="440"/>
            <w:col w:w="9780"/>
          </w:cols>
          <w:pgMar w:left="440" w:top="293" w:right="479" w:bottom="1440" w:gutter="0" w:footer="0" w:header="0"/>
        </w:sect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June 16, 2026, Michelle Doig notified BridgeBio Oncology Therapeutics, Inc. (the “Company”), of her resignation as a member of the Board of Directors of the Company (the “Board”) upon the completion of her term as a Class I director, effective as of June 16, 2026, the date of the Company’s 2026 Annual Meeting of Stockholders (the “Annual Meeting”). Ms. Doig’s resignation was not due to any disagreement with the Company on any matter relating to the Company’s operations, policies or practices.</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proposals set forth below were submitted to the stockholders at the Annual Meeting held on June 16, 2026, with each such proposal described in the Company’s definitive proxy statement filed with the Securities and Exchange Commission on April 28, 2026 (the “Proxy Statement”).</w:t>
      </w:r>
    </w:p>
    <w:p>
      <w:pPr>
        <w:spacing w:after="0" w:line="162"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number of shares of common stock entitled to vote at the Annual Meeting was 80,112,725. The number of shares of common stock present or represented by valid proxy at the Annual Meeting was 48,344,441. The number of votes cast for and against and the number of abstentions, broker non-votes and no votes with respect to each proposal voted upon are set forth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 Election of Directors.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the two (2) director nominees below to the Company’s Board of Directors as Class I directors to hold office until the 2029 Annual Meeting of Stockholders of the Company or until their successors are duly elected and qualified.</w:t>
      </w:r>
    </w:p>
    <w:p>
      <w:pPr>
        <w:spacing w:after="0" w:line="176"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 Nominee</w:t>
            </w:r>
          </w:p>
        </w:tc>
        <w:tc>
          <w:tcPr>
            <w:tcW w:w="2560" w:type="dxa"/>
            <w:vAlign w:val="bottom"/>
          </w:tcPr>
          <w:p>
            <w:pPr>
              <w:jc w:val="center"/>
              <w:ind w:left="1396"/>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Votes Withheld</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Peter Lebowitz, M.D., Ph.D.</w:t>
            </w:r>
          </w:p>
        </w:tc>
        <w:tc>
          <w:tcPr>
            <w:tcW w:w="2560" w:type="dxa"/>
            <w:vAlign w:val="bottom"/>
          </w:tcPr>
          <w:p>
            <w:pPr>
              <w:jc w:val="center"/>
              <w:ind w:left="1396"/>
              <w:spacing w:after="0"/>
              <w:rPr>
                <w:sz w:val="20"/>
                <w:szCs w:val="20"/>
                <w:color w:val="auto"/>
              </w:rPr>
            </w:pPr>
            <w:r>
              <w:rPr>
                <w:rFonts w:ascii="Times New Roman" w:cs="Times New Roman" w:eastAsia="Times New Roman" w:hAnsi="Times New Roman"/>
                <w:sz w:val="18"/>
                <w:szCs w:val="18"/>
                <w:color w:val="auto"/>
                <w:w w:val="98"/>
              </w:rPr>
              <w:t>31,822,504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w:t>
            </w: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Frank P. McCormick, Ph.D., F.R.S., D. Sc.</w:t>
            </w:r>
          </w:p>
        </w:tc>
        <w:tc>
          <w:tcPr>
            <w:tcW w:w="2560" w:type="dxa"/>
            <w:vAlign w:val="bottom"/>
          </w:tcPr>
          <w:p>
            <w:pPr>
              <w:jc w:val="center"/>
              <w:ind w:left="1396"/>
              <w:spacing w:after="0"/>
              <w:rPr>
                <w:sz w:val="20"/>
                <w:szCs w:val="20"/>
                <w:color w:val="auto"/>
              </w:rPr>
            </w:pPr>
            <w:r>
              <w:rPr>
                <w:rFonts w:ascii="Times New Roman" w:cs="Times New Roman" w:eastAsia="Times New Roman" w:hAnsi="Times New Roman"/>
                <w:sz w:val="18"/>
                <w:szCs w:val="18"/>
                <w:color w:val="auto"/>
                <w:w w:val="98"/>
              </w:rPr>
              <w:t>25,654,119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6,171,757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2,713,439 broker non-votes and 13,805,126 no votes regarding this proposal.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 Ratification of Appointment of Independent Registered Accounting Firm.</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Deloitte &amp; Touche LLP as the independent registered public accounting firm of the Company for the fiscal year ending December 31, 2026.</w:t>
      </w:r>
    </w:p>
    <w:p>
      <w:pPr>
        <w:sectPr>
          <w:pgSz w:w="11900" w:h="16838" w:orient="portrait"/>
          <w:cols w:equalWidth="0" w:num="1">
            <w:col w:w="10980"/>
          </w:cols>
          <w:pgMar w:left="440" w:top="293" w:right="479" w:bottom="1440" w:gutter="0" w:footer="0" w:header="0"/>
          <w:type w:val="continuous"/>
        </w:sectPr>
      </w:pPr>
    </w:p>
    <w:p>
      <w:pPr>
        <w:spacing w:after="0" w:line="18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Votes For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Votes Against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Abstentions</w:t>
      </w:r>
    </w:p>
    <w:p>
      <w:pPr>
        <w:spacing w:after="0" w:line="21" w:lineRule="exact"/>
        <w:rPr>
          <w:sz w:val="20"/>
          <w:szCs w:val="20"/>
          <w:color w:val="auto"/>
        </w:rPr>
      </w:pPr>
    </w:p>
    <w:p>
      <w:pPr>
        <w:sectPr>
          <w:pgSz w:w="11900" w:h="16838" w:orient="portrait"/>
          <w:cols w:equalWidth="0" w:num="3">
            <w:col w:w="4460" w:space="720"/>
            <w:col w:w="2080" w:space="720"/>
            <w:col w:w="3000"/>
          </w:cols>
          <w:pgMar w:left="440" w:top="293" w:right="479" w:bottom="1440" w:gutter="0" w:footer="0" w:header="0"/>
          <w:type w:val="continuous"/>
        </w:sectPr>
      </w:pPr>
    </w:p>
    <w:p>
      <w:pPr>
        <w:spacing w:after="0" w:line="8"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7"/>
          <w:szCs w:val="17"/>
          <w:color w:val="auto"/>
        </w:rPr>
        <w:t>34,535,875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3,440</w:t>
      </w:r>
    </w:p>
    <w:p>
      <w:pPr>
        <w:spacing w:after="0" w:line="20" w:lineRule="exact"/>
        <w:rPr>
          <w:sz w:val="20"/>
          <w:szCs w:val="20"/>
          <w:color w:val="auto"/>
        </w:rPr>
      </w:pPr>
      <w:r>
        <w:rPr>
          <w:sz w:val="20"/>
          <w:szCs w:val="20"/>
          <w:color w:val="auto"/>
        </w:rPr>
        <w:br w:type="column"/>
      </w:r>
    </w:p>
    <w:p>
      <w:pPr>
        <w:jc w:val="center"/>
        <w:ind w:right="2580"/>
        <w:spacing w:after="0"/>
        <w:rPr>
          <w:sz w:val="20"/>
          <w:szCs w:val="20"/>
          <w:color w:val="auto"/>
        </w:rPr>
      </w:pPr>
      <w:r>
        <w:rPr>
          <w:rFonts w:ascii="Times New Roman" w:cs="Times New Roman" w:eastAsia="Times New Roman" w:hAnsi="Times New Roman"/>
          <w:sz w:val="18"/>
          <w:szCs w:val="18"/>
          <w:color w:val="auto"/>
        </w:rPr>
        <w:t>0</w:t>
      </w:r>
    </w:p>
    <w:p>
      <w:pPr>
        <w:spacing w:after="0" w:line="198" w:lineRule="exact"/>
        <w:rPr>
          <w:sz w:val="20"/>
          <w:szCs w:val="20"/>
          <w:color w:val="auto"/>
        </w:rPr>
      </w:pPr>
    </w:p>
    <w:p>
      <w:pPr>
        <w:sectPr>
          <w:pgSz w:w="11900" w:h="16838" w:orient="portrait"/>
          <w:cols w:equalWidth="0" w:num="3">
            <w:col w:w="4680" w:space="720"/>
            <w:col w:w="2180" w:space="720"/>
            <w:col w:w="2680"/>
          </w:cols>
          <w:pgMar w:left="440" w:top="293"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There were zero broker non-votes and 13,805,126 no votes regarding this proposal.</w:t>
      </w:r>
    </w:p>
    <w:p>
      <w:pPr>
        <w:sectPr>
          <w:pgSz w:w="11900" w:h="16838" w:orient="portrait"/>
          <w:cols w:equalWidth="0" w:num="1">
            <w:col w:w="10980"/>
          </w:cols>
          <w:pgMar w:left="440" w:top="293" w:right="479" w:bottom="1440" w:gutter="0" w:footer="0" w:header="0"/>
          <w:type w:val="continuous"/>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BRIDGEBIO ONCOLOGY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22,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Pedro J. Beltran,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Pedro J. Beltran, Ph.D.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Executive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2026-06-22T15:18:48Z</dcterms:created>
  <dcterms:modified xsi:type="dcterms:W3CDTF">2026-06-22T15:18:48Z</dcterms:modified>
</cp:coreProperties>
</file>