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Kelleher Raymond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stock option vest in full upon the earlier of (i) the first anniversary of the date of grant or (ii) the date of the next Annual Meeting of Stockholders of the Issuer following the date of grant, subject to the Reporting Person's continued service to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J. Kelleher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193"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3402</Characters>
  <CharactersWithSpaces>3971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