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hyperlink w:anchor="toc_page">
        <w:bookmarkStart w:id="0" w:name="424b3_prospectus_q2.htm"/>
        <w:bookmarkStart w:id="1" w:name="ks424b3_prospectus_q2"/>
        <w:bookmarkEnd w:id="0"/>
        <w:bookmarkEnd w:id="1"/>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Ease Filed Pursuant to Rule 424(b)(3)</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333-289940</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Prospectus Supplement No. 9</w:t>
      </w:r>
    </w:p>
    <w:p>
      <w:pPr>
        <w:pStyle w:val="TextBody"/>
        <w:bidi w:val="0"/>
        <w:jc w:val="both"/>
        <w:rPr>
          <w:rFonts w:ascii="Times New Roman" w:hAnsi="Times New Roman"/>
          <w:color w:val="000000"/>
          <w:sz w:val="20"/>
        </w:rPr>
      </w:pPr>
      <w:r>
        <w:rPr>
          <w:rFonts w:ascii="Times New Roman" w:hAnsi="Times New Roman"/>
          <w:color w:val="000000"/>
          <w:sz w:val="20"/>
        </w:rPr>
        <w:t>(To Prospectus dated September 10, 2025)</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BridgeBio Oncology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63,054,549 Shares of Common Stock by the Selling Securityholders</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no. 9 (this “Prospectus Supplement”) amends and supplements the prospectus dated September 10, 2025 (as may be supplemented or amended from time to time, the “Prospectus”), which forms part of our Registration Statement on Form S-1 (Registration Statement No. 333-289940), as amended by the Post-Effective Amendment No. 1 thereto (Registration Statement No. 333-289940). This Prospectus Supplement is being filed to update and supplement the information included or incorporated by reference in the Prospectus with the information contained in the attached Quarterly Report on Form 10-Q, filed with the Securities and Exchange Commission (the “Securities and Exchange Commission”) on August 11, 2026 (the “Form 10-Q”). Accordingly, we have attached the Form 10-Q to this Prospectus Supplement.</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jc w:val="both"/>
        <w:rPr>
          <w:rFonts w:ascii="Times New Roman" w:hAnsi="Times New Roman"/>
          <w:color w:val="000000"/>
          <w:sz w:val="20"/>
        </w:rPr>
      </w:pPr>
      <w:r>
        <w:rPr>
          <w:rFonts w:ascii="Times New Roman" w:hAnsi="Times New Roman"/>
          <w:color w:val="000000"/>
          <w:sz w:val="20"/>
        </w:rPr>
        <w:t>Our common stock, par value $0.0001 per share (“Common Stock”) is listed on Nasdaq Global Market (“Nasdaq”) under the symbol “BBOT”. On August 11, 2026, the closing price of our Common Stock as reported on Nasdaq was $9.20 per share.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We are an “emerging growth company” as that term is defined under the federal securities laws and, as such, are subject to certain reduced public company reporting requirements.</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Investing in our securities involves risks that are described in the “</w:t>
      </w:r>
      <w:r>
        <w:rPr>
          <w:rFonts w:ascii="Times New Roman" w:hAnsi="Times New Roman"/>
          <w:b/>
          <w:i/>
          <w:color w:val="000000"/>
          <w:sz w:val="20"/>
        </w:rPr>
        <w:t>Risk Factors</w:t>
      </w:r>
      <w:r>
        <w:rPr>
          <w:rFonts w:ascii="Times New Roman" w:hAnsi="Times New Roman"/>
          <w:color w:val="000000"/>
          <w:sz w:val="20"/>
        </w:rPr>
        <w:t xml:space="preserve">” </w:t>
      </w:r>
      <w:r>
        <w:rPr>
          <w:rFonts w:ascii="Times New Roman" w:hAnsi="Times New Roman"/>
          <w:b/>
          <w:color w:val="000000"/>
          <w:sz w:val="20"/>
        </w:rPr>
        <w:t>section beginning on page 10 of the Prospectus.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August 12, 2026.</w:t>
      </w:r>
    </w:p>
    <w:p>
      <w:pPr>
        <w:pStyle w:val="TextBody"/>
        <w:bidi w:val="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pBdr>
          <w:bottom w:val="double" w:sz="6" w:space="1" w:color="000000"/>
        </w:pBdr>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283"/>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283"/>
        <w:jc w:val="center"/>
        <w:rPr/>
      </w:pPr>
      <w:r>
        <w:rPr/>
        <w:t> </w:t>
      </w:r>
    </w:p>
    <w:p>
      <w:pPr>
        <w:pStyle w:val="TextBody"/>
        <w:bidi w:val="0"/>
        <w:spacing w:before="120" w:after="283"/>
        <w:jc w:val="both"/>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001-41955</w:t>
      </w:r>
    </w:p>
    <w:p>
      <w:pPr>
        <w:pStyle w:val="TextBody"/>
        <w:pBdr>
          <w:bottom w:val="single" w:sz="4" w:space="1" w:color="000000"/>
        </w:pBdr>
        <w:bidi w:val="0"/>
        <w:spacing w:before="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4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both"/>
        <w:rPr/>
      </w:pPr>
      <w:r>
        <w:rPr/>
        <w:t> </w:t>
      </w:r>
    </w:p>
    <w:tbl>
      <w:tblPr>
        <w:tblW w:w="4187" w:type="dxa"/>
        <w:jc w:val="left"/>
        <w:tblInd w:w="0" w:type="dxa"/>
        <w:tblLayout w:type="fixed"/>
        <w:tblCellMar>
          <w:top w:w="28" w:type="dxa"/>
          <w:left w:w="28" w:type="dxa"/>
          <w:bottom w:w="28" w:type="dxa"/>
          <w:right w:w="28" w:type="dxa"/>
        </w:tblCellMar>
      </w:tblPr>
      <w:tblGrid>
        <w:gridCol w:w="2851"/>
        <w:gridCol w:w="1336"/>
      </w:tblGrid>
      <w:tr>
        <w:trPr/>
        <w:tc>
          <w:tcPr>
            <w:tcW w:w="285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39-3690783</w:t>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85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256 E. Grand Avenue, Suite 104</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(650) 405-4770</w:t>
      </w:r>
    </w:p>
    <w:p>
      <w:pPr>
        <w:pStyle w:val="TextBody"/>
        <w:pBdr>
          <w:bottom w:val="single" w:sz="4" w:space="1" w:color="000000"/>
        </w:pBdr>
        <w:bidi w:val="0"/>
        <w:spacing w:before="40" w:after="283"/>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both"/>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BBOT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123" w:type="dxa"/>
        <w:jc w:val="left"/>
        <w:tblInd w:w="0" w:type="dxa"/>
        <w:tblLayout w:type="fixed"/>
        <w:tblCellMar>
          <w:top w:w="28" w:type="dxa"/>
          <w:left w:w="28" w:type="dxa"/>
          <w:bottom w:w="28" w:type="dxa"/>
          <w:right w:w="28" w:type="dxa"/>
        </w:tblCellMar>
      </w:tblPr>
      <w:tblGrid>
        <w:gridCol w:w="2056"/>
        <w:gridCol w:w="109"/>
        <w:gridCol w:w="316"/>
        <w:gridCol w:w="146"/>
        <w:gridCol w:w="2026"/>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As of August 6, 2026, the registrant had 80,174,267 shares of common stock, $0.0001 par value per share, outstanding.</w:t>
      </w:r>
    </w:p>
    <w:p>
      <w:pPr>
        <w:pStyle w:val="TextBody"/>
        <w:pBdr>
          <w:bottom w:val="double" w:sz="6" w:space="1" w:color="000000"/>
        </w:pBdr>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w:t>
      </w:r>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86"/>
        <w:gridCol w:w="8677"/>
        <w:gridCol w:w="542"/>
      </w:tblGrid>
      <w:tr>
        <w:trPr/>
        <w:tc>
          <w:tcPr>
            <w:tcW w:w="986" w:type="dxa"/>
            <w:tcBorders/>
            <w:vAlign w:val="center"/>
          </w:tcPr>
          <w:p>
            <w:pPr>
              <w:pStyle w:val="TableContents"/>
              <w:bidi w:val="0"/>
              <w:spacing w:before="0" w:after="283"/>
              <w:jc w:val="left"/>
              <w:rPr>
                <w:sz w:val="4"/>
                <w:szCs w:val="4"/>
              </w:rPr>
            </w:pPr>
            <w:r>
              <w:rPr>
                <w:sz w:val="4"/>
                <w:szCs w:val="4"/>
              </w:rPr>
            </w:r>
          </w:p>
        </w:tc>
        <w:tc>
          <w:tcPr>
            <w:tcW w:w="867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Page</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PART I.</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part_i_financial_information">
              <w:r>
                <w:rPr>
                  <w:rStyle w:val="InternetLink"/>
                  <w:rFonts w:ascii="Times New Roman" w:hAnsi="Times New Roman"/>
                  <w:color w:val="0000FF"/>
                  <w:sz w:val="20"/>
                  <w:u w:val="single"/>
                </w:rPr>
                <w:t>FINANCIAL INFORMATION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1.</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part_i_financial_information">
              <w:r>
                <w:rPr>
                  <w:rStyle w:val="InternetLink"/>
                  <w:rFonts w:ascii="Times New Roman" w:hAnsi="Times New Roman"/>
                  <w:color w:val="0000FF"/>
                  <w:sz w:val="20"/>
                  <w:u w:val="single"/>
                </w:rPr>
                <w:t>Financial Statements</w:t>
              </w:r>
            </w:hyperlink>
            <w:r>
              <w:rPr>
                <w:rFonts w:ascii="Times New Roman" w:hAnsi="Times New Roman"/>
                <w:color w:val="000000"/>
                <w:sz w:val="20"/>
              </w:rPr>
              <w:t> (unaudited)</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unaudited_condensed_balance_sheets">
              <w:r>
                <w:rPr>
                  <w:rStyle w:val="InternetLink"/>
                  <w:rFonts w:ascii="Times New Roman" w:hAnsi="Times New Roman"/>
                  <w:color w:val="0000FF"/>
                  <w:sz w:val="20"/>
                  <w:u w:val="single"/>
                </w:rPr>
                <w:t>Condensed Consolidated Balance Sheets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unaud_condensed_statements_of_operations">
              <w:r>
                <w:rPr>
                  <w:rStyle w:val="InternetLink"/>
                  <w:rFonts w:ascii="Times New Roman" w:hAnsi="Times New Roman"/>
                  <w:color w:val="0000FF"/>
                  <w:sz w:val="20"/>
                  <w:u w:val="single"/>
                </w:rPr>
                <w:t>Condensed Consolidated Statements of Operations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condensed_statements_of_comp_loss">
              <w:r>
                <w:rPr>
                  <w:rStyle w:val="InternetLink"/>
                  <w:rFonts w:ascii="Times New Roman" w:hAnsi="Times New Roman"/>
                  <w:color w:val="0000FF"/>
                  <w:sz w:val="20"/>
                  <w:u w:val="single"/>
                </w:rPr>
                <w:t>Condensed Consolidated Statements of Comprehensive Loss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una_condensed_state_of_stock_deficit">
              <w:r>
                <w:rPr>
                  <w:rStyle w:val="InternetLink"/>
                  <w:rFonts w:ascii="Times New Roman" w:hAnsi="Times New Roman"/>
                  <w:color w:val="0000FF"/>
                  <w:sz w:val="20"/>
                  <w:u w:val="single"/>
                </w:rPr>
                <w:t>Condensed Consolidated Statements of Redeemable Convertible Preferred Stock and Stockholders' Equity (Deficit)</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unaud_condensed_statements_of_cash_flows">
              <w:r>
                <w:rPr>
                  <w:rStyle w:val="InternetLink"/>
                  <w:rFonts w:ascii="Times New Roman" w:hAnsi="Times New Roman"/>
                  <w:color w:val="0000FF"/>
                  <w:sz w:val="20"/>
                  <w:u w:val="single"/>
                </w:rPr>
                <w:t>Condensed Consolidated Statements of Cash Flows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notes_to_una_cond_financial_statements">
              <w:r>
                <w:rPr>
                  <w:rStyle w:val="InternetLink"/>
                  <w:rFonts w:ascii="Times New Roman" w:hAnsi="Times New Roman"/>
                  <w:color w:val="0000FF"/>
                  <w:sz w:val="20"/>
                  <w:u w:val="single"/>
                </w:rPr>
                <w:t>Notes to Condensed Consolidated Financial Statements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2.</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3.</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4.</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4_controls_and_procedures">
              <w:r>
                <w:rPr>
                  <w:rStyle w:val="InternetLink"/>
                  <w:rFonts w:ascii="Times New Roman" w:hAnsi="Times New Roman"/>
                  <w:color w:val="0000FF"/>
                  <w:sz w:val="20"/>
                  <w:u w:val="single"/>
                </w:rPr>
                <w:t>Controls and Procedures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PART II.</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part_ii_other_information">
              <w:r>
                <w:rPr>
                  <w:rStyle w:val="InternetLink"/>
                  <w:rFonts w:ascii="Times New Roman" w:hAnsi="Times New Roman"/>
                  <w:color w:val="0000FF"/>
                  <w:sz w:val="20"/>
                  <w:u w:val="single"/>
                </w:rPr>
                <w:t>OTHER INFORMATION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1.</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legal_proceedings">
              <w:r>
                <w:rPr>
                  <w:rStyle w:val="InternetLink"/>
                  <w:rFonts w:ascii="Times New Roman" w:hAnsi="Times New Roman"/>
                  <w:color w:val="0000FF"/>
                  <w:sz w:val="20"/>
                  <w:u w:val="single"/>
                </w:rPr>
                <w:t>Legal Proceedings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1A.</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risk_factors">
              <w:r>
                <w:rPr>
                  <w:rStyle w:val="InternetLink"/>
                  <w:rFonts w:ascii="Times New Roman" w:hAnsi="Times New Roman"/>
                  <w:color w:val="0000FF"/>
                  <w:sz w:val="20"/>
                  <w:u w:val="single"/>
                </w:rPr>
                <w:t>Risk Factors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2.</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3.</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4.</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4_mine_safety_disclosures">
              <w:r>
                <w:rPr>
                  <w:rStyle w:val="InternetLink"/>
                  <w:rFonts w:ascii="Times New Roman" w:hAnsi="Times New Roman"/>
                  <w:color w:val="0000FF"/>
                  <w:sz w:val="20"/>
                  <w:u w:val="single"/>
                </w:rPr>
                <w:t>Mine Safety Disclosures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5.</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5_other_information">
              <w:r>
                <w:rPr>
                  <w:rStyle w:val="InternetLink"/>
                  <w:rFonts w:ascii="Times New Roman" w:hAnsi="Times New Roman"/>
                  <w:color w:val="0000FF"/>
                  <w:sz w:val="20"/>
                  <w:u w:val="single"/>
                </w:rPr>
                <w:t>Other Information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6.</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6_exhibits">
              <w:r>
                <w:rPr>
                  <w:rStyle w:val="InternetLink"/>
                  <w:rFonts w:ascii="Times New Roman" w:hAnsi="Times New Roman"/>
                  <w:color w:val="0000FF"/>
                  <w:sz w:val="20"/>
                  <w:u w:val="single"/>
                </w:rPr>
                <w:t>Exhibits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unaudited_condens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i/>
          <w:color w:val="000000"/>
          <w:sz w:val="20"/>
        </w:rPr>
        <w:t>(In thousands, except shares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2"/>
        <w:gridCol w:w="146"/>
        <w:gridCol w:w="212"/>
        <w:gridCol w:w="851"/>
        <w:gridCol w:w="166"/>
        <w:gridCol w:w="146"/>
        <w:gridCol w:w="249"/>
        <w:gridCol w:w="999"/>
        <w:gridCol w:w="594"/>
      </w:tblGrid>
      <w:tr>
        <w:trPr/>
        <w:tc>
          <w:tcPr>
            <w:tcW w:w="6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373,687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432,396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448,381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research and development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Payables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Redeemable convertible preferred stock, $0.0001 par value; no shares </w:t>
              <w:br/>
              <w:t>      authorized, issued and outstanding as of June 30, 2026 or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as of </w:t>
              <w:br/>
              <w:t xml:space="preserve">        June 30, 2026 and December 31, 2025; no shares issued </w:t>
              <w:br/>
              <w:t>        or outstanding as of June 30, 2026 or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500,000,000 shares authorized as of </w:t>
              <w:br/>
              <w:t xml:space="preserve">        June 30, 2026 and December 31, 2025; 80,115,002 and </w:t>
              <w:br/>
              <w:t xml:space="preserve">        79,991,768 shares issued and outstanding as of June 30, 2026 and </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767,639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(356,567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411,096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448,381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unaud_condensed_statements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84"/>
        <w:gridCol w:w="546"/>
        <w:gridCol w:w="211"/>
        <w:gridCol w:w="736"/>
        <w:gridCol w:w="546"/>
        <w:gridCol w:w="546"/>
        <w:gridCol w:w="211"/>
        <w:gridCol w:w="736"/>
        <w:gridCol w:w="546"/>
        <w:gridCol w:w="546"/>
        <w:gridCol w:w="211"/>
        <w:gridCol w:w="886"/>
        <w:gridCol w:w="546"/>
        <w:gridCol w:w="546"/>
        <w:gridCol w:w="211"/>
        <w:gridCol w:w="886"/>
        <w:gridCol w:w="611"/>
      </w:tblGrid>
      <w:tr>
        <w:trPr/>
        <w:tc>
          <w:tcPr>
            <w:tcW w:w="168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transition services agreements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participation right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(98,560</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common stockholders, </w:t>
              <w:br/>
              <w:t>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(705.20</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(566.46</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(1,230.89</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shares used in computing </w:t>
              <w:br/>
              <w:t xml:space="preserve">       net loss per share attributable to common stockholders, </w:t>
              <w:br/>
              <w:t>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80,072</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Research and development expenses include related party amounts of $231 and $174 for the three months ended June 30, 2026 and 2025, respectively, and $373 and $438 for the six months ended June 30, 2026 and 2025,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General and administrative expenses include related party amounts of $39 and $201 for the three months ended June 30, 2026 and 2025, respectively, and $79 and $370 for the six months ended June 30, 2026 and 2025, respectively. </w:t>
      </w:r>
    </w:p>
    <w:p>
      <w:pPr>
        <w:pStyle w:val="TextBody"/>
        <w:bidi w:val="0"/>
        <w:spacing w:before="200" w:after="283"/>
        <w:jc w:val="both"/>
        <w:rPr/>
      </w:pPr>
      <w:r>
        <w:rPr/>
        <w:t> </w:t>
      </w:r>
    </w:p>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statements_of_comp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978" w:type="dxa"/>
        <w:jc w:val="left"/>
        <w:tblInd w:w="0" w:type="dxa"/>
        <w:tblLayout w:type="fixed"/>
        <w:tblCellMar>
          <w:top w:w="28" w:type="dxa"/>
          <w:left w:w="28" w:type="dxa"/>
          <w:bottom w:w="28" w:type="dxa"/>
          <w:right w:w="28" w:type="dxa"/>
        </w:tblCellMar>
      </w:tblPr>
      <w:tblGrid>
        <w:gridCol w:w="4101"/>
        <w:gridCol w:w="146"/>
        <w:gridCol w:w="251"/>
        <w:gridCol w:w="876"/>
        <w:gridCol w:w="197"/>
        <w:gridCol w:w="173"/>
        <w:gridCol w:w="251"/>
        <w:gridCol w:w="876"/>
        <w:gridCol w:w="166"/>
        <w:gridCol w:w="146"/>
        <w:gridCol w:w="228"/>
        <w:gridCol w:w="796"/>
        <w:gridCol w:w="179"/>
        <w:gridCol w:w="157"/>
        <w:gridCol w:w="228"/>
        <w:gridCol w:w="796"/>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(99,535</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una_condensed_state_of_stock_deficit"/>
      <w:bookmarkEnd w:id="7"/>
      <w:r>
        <w:rPr>
          <w:rFonts w:ascii="Times New Roman" w:hAnsi="Times New Roman"/>
          <w:b/>
          <w:color w:val="000000"/>
          <w:sz w:val="20"/>
        </w:rPr>
        <w:t>Condensed Consolidated Statements of Redeemable Convertible Preferred</w:t>
      </w:r>
      <w:r>
        <w:rPr>
          <w:rFonts w:ascii="Times New Roman" w:hAnsi="Times New Roman"/>
          <w:color w:val="000000"/>
          <w:sz w:val="20"/>
        </w:rPr>
        <w:t xml:space="preserve"> </w:t>
      </w:r>
      <w:r>
        <w:rPr>
          <w:rFonts w:ascii="Times New Roman" w:hAnsi="Times New Roman"/>
          <w:b/>
          <w:color w:val="000000"/>
          <w:sz w:val="20"/>
        </w:rPr>
        <w:t>Stock</w:t>
      </w:r>
    </w:p>
    <w:p>
      <w:pPr>
        <w:pStyle w:val="TextBody"/>
        <w:bidi w:val="0"/>
        <w:jc w:val="center"/>
        <w:rPr>
          <w:rFonts w:ascii="Times New Roman" w:hAnsi="Times New Roman"/>
          <w:b/>
          <w:color w:val="000000"/>
          <w:sz w:val="20"/>
        </w:rPr>
      </w:pPr>
      <w:r>
        <w:rPr>
          <w:rFonts w:ascii="Times New Roman" w:hAnsi="Times New Roman"/>
          <w:b/>
          <w:color w:val="000000"/>
          <w:sz w:val="20"/>
        </w:rPr>
        <w:t>and Stockholders’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325" w:type="dxa"/>
        <w:jc w:val="left"/>
        <w:tblInd w:w="0" w:type="dxa"/>
        <w:tblLayout w:type="fixed"/>
        <w:tblCellMar>
          <w:top w:w="28" w:type="dxa"/>
          <w:left w:w="28" w:type="dxa"/>
          <w:bottom w:w="28" w:type="dxa"/>
          <w:right w:w="28" w:type="dxa"/>
        </w:tblCellMar>
      </w:tblPr>
      <w:tblGrid>
        <w:gridCol w:w="1066"/>
        <w:gridCol w:w="146"/>
        <w:gridCol w:w="146"/>
        <w:gridCol w:w="766"/>
        <w:gridCol w:w="151"/>
        <w:gridCol w:w="146"/>
        <w:gridCol w:w="181"/>
        <w:gridCol w:w="586"/>
        <w:gridCol w:w="151"/>
        <w:gridCol w:w="146"/>
        <w:gridCol w:w="146"/>
        <w:gridCol w:w="146"/>
        <w:gridCol w:w="766"/>
        <w:gridCol w:w="146"/>
        <w:gridCol w:w="146"/>
        <w:gridCol w:w="196"/>
        <w:gridCol w:w="375"/>
        <w:gridCol w:w="146"/>
        <w:gridCol w:w="146"/>
        <w:gridCol w:w="181"/>
        <w:gridCol w:w="586"/>
        <w:gridCol w:w="146"/>
        <w:gridCol w:w="146"/>
        <w:gridCol w:w="194"/>
        <w:gridCol w:w="677"/>
        <w:gridCol w:w="151"/>
        <w:gridCol w:w="146"/>
        <w:gridCol w:w="331"/>
        <w:gridCol w:w="690"/>
        <w:gridCol w:w="151"/>
        <w:gridCol w:w="146"/>
        <w:gridCol w:w="197"/>
        <w:gridCol w:w="689"/>
        <w:gridCol w:w="19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Redeemable </w:t>
              <w:br/>
              <w:t>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79,991,768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767,639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411,096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Exercise of common stock options </w:t>
              <w:br/>
              <w:t>      for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marketable </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(42,106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80,088,931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771,926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(398,673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372,280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Exercise of common stock options </w:t>
              <w:br/>
              <w:t>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gain on marketable </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(56,454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80,115,002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779,190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323,112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36,386,702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323,358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(222,523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(178,637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Conversion of Series B redeemable </w:t>
              <w:br/>
              <w:t xml:space="preserve">      convertible preferred stock into </w:t>
              <w:br/>
              <w: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marketable </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(22,055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36,364,919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323,169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(244,578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(200,033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Series B redeemable </w:t>
              <w:br/>
              <w:t xml:space="preserve">     convertible preferred stock for cash </w:t>
              <w:br/>
              <w:t xml:space="preserve">     consideration and settlement of </w:t>
              <w:br/>
              <w:t>     participation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2,509,446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marketable </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(28,435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38,874,365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349,221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(273,013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(227,733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unaud_condensed_statements_of_cash_flows"/>
      <w:bookmarkEnd w:id="8"/>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337"/>
        <w:gridCol w:w="146"/>
        <w:gridCol w:w="211"/>
        <w:gridCol w:w="841"/>
        <w:gridCol w:w="166"/>
        <w:gridCol w:w="146"/>
        <w:gridCol w:w="211"/>
        <w:gridCol w:w="736"/>
        <w:gridCol w:w="411"/>
      </w:tblGrid>
      <w:tr>
        <w:trPr/>
        <w:tc>
          <w:tcPr>
            <w:tcW w:w="7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(50,490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fair value of participation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accretion of premiums and 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non-cash adjustments,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research and development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Balances due to and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Maturities and sales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83,818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Issuance of Series B redeemable convertible preferred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deferred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Exercise of common stock options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30,983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Settlement of participation right liability upon issuance </w:t>
              <w:br/>
              <w:t>      of Series B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Right-of-use asset recognized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de-SPAC transaction costs included in accrued</w:t>
              <w:br/>
              <w:t>      professional services and 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Unpaid property and equipment included in 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9" w:name="notes_to_una_cond_financial_statements"/>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Heading2"/>
        <w:bidi w:val="0"/>
        <w:spacing w:before="200" w:after="283"/>
        <w:jc w:val="both"/>
        <w:rPr>
          <w:rFonts w:ascii="Times New Roman" w:hAnsi="Times New Roman"/>
          <w:color w:val="000000"/>
          <w:sz w:val="20"/>
        </w:rPr>
      </w:pPr>
      <w:bookmarkStart w:id="10" w:name="note_1_organization"/>
      <w:bookmarkEnd w:id="10"/>
      <w:r>
        <w:rPr>
          <w:rFonts w:ascii="Times New Roman" w:hAnsi="Times New Roman"/>
          <w:color w:val="000000"/>
          <w:sz w:val="20"/>
        </w:rPr>
        <w:t>1. Organization</w:t>
      </w:r>
    </w:p>
    <w:p>
      <w:pPr>
        <w:pStyle w:val="TextBody"/>
        <w:bidi w:val="0"/>
        <w:spacing w:before="200" w:after="283"/>
        <w:jc w:val="both"/>
        <w:rPr>
          <w:rFonts w:ascii="Times New Roman" w:hAnsi="Times New Roman"/>
          <w:b/>
          <w:i/>
          <w:color w:val="000000"/>
          <w:sz w:val="20"/>
        </w:rPr>
      </w:pPr>
      <w:bookmarkStart w:id="11" w:name="description_of_the_business"/>
      <w:bookmarkEnd w:id="11"/>
      <w:r>
        <w:rPr>
          <w:rFonts w:ascii="Times New Roman" w:hAnsi="Times New Roman"/>
          <w:b/>
          <w:i/>
          <w:color w:val="000000"/>
          <w:sz w:val="20"/>
        </w:rPr>
        <w:t>Description of 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BridgeBio Oncology Therapeutics, Inc. (“BBOT,” the “Company,” “we,” “our,” or “us”), formerly known as Helix Acquisition Corp. II (“Helix”), is a clinical-stage biopharmaceutical company advancing a next-generation pipeline of novel small molecule therapeutics targeting RAS and Phosphoinositide 3-kinase (“PI3K”) malignancies. BBOT is headquartered in South San Francisco, California.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de-SPAC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28, 2025, TheRas Inc. (“Legacy BBOT”), a privately held Delaware corporation, entered into a definitive business combination agreement (“Business Combination Agreement”) with Helix, a publicly traded special purpose acquisition company (“SPAC”) listed on Nasdaq under the ticker symbol “HLXB.”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11, 2025 (the “Closing”), Helix II Merger Sub, Inc., a wholly owned subsidiary of Helix, merged with and into Legacy BBOT, with Legacy BBOT surviving the merger as a wholly-owned subsidiary of Helix (“Merger”). In connection with the Merger, Helix changed its name to BridgeBio Oncology Therapeutics, Inc., and the combined company became listed on Nasdaq under the new ticker symbol “BBOT” (“de-SPAC Transaction”). Immediately prior to the closing of the de-SPAC Transaction, Helix issued and sold shares of its common stock to investors in a private placement financing for an aggregate purchase price of $260.9 million (“PIPE Financing”).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de-SPAC Transaction was accounted for as a reverse recapitalization with Legacy BBOT being the accounting acquirer, and Helix identified as the acquired company for accounting purposes (see Note 3). Accordingly, prior to the Closing, all historical financial information presented in the condensed consolidated financial statements represents the balances and activity of Legacy BBOT. At the Closing, each outstanding share of Legacy BBOT common stock was exchanged for shares of BBOT common stock based on a ratio of approximately 0.0889 (“Consideration Ratio”). For periods prior to the Closing, the reported share and per share information has been retroactively adjusted to reflect the Consideration Ratio.</w:t>
      </w:r>
    </w:p>
    <w:p>
      <w:pPr>
        <w:pStyle w:val="TextBody"/>
        <w:bidi w:val="0"/>
        <w:spacing w:before="200" w:after="283"/>
        <w:jc w:val="both"/>
        <w:rPr>
          <w:rFonts w:ascii="Times New Roman" w:hAnsi="Times New Roman"/>
          <w:b/>
          <w:i/>
          <w:color w:val="000000"/>
          <w:sz w:val="20"/>
        </w:rPr>
      </w:pPr>
      <w:bookmarkStart w:id="12" w:name="related_party_relationships"/>
      <w:bookmarkEnd w:id="12"/>
      <w:r>
        <w:rPr>
          <w:rFonts w:ascii="Times New Roman" w:hAnsi="Times New Roman"/>
          <w:b/>
          <w:i/>
          <w:color w:val="000000"/>
          <w:sz w:val="20"/>
        </w:rPr>
        <w:t>Material Related Party Transactions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BridgeBio Pharma, Inc. is a commercial-stage biopharmaceutical company founded to discover, create, test, and deliver transformative medicines to treat patients who suffer from genetic diseases. BridgeBio Pharma, Inc. and its controlled entities (collectively, “BridgeBio Pharma”) were related parties of Legacy BBOT prior to the Closing and remained related parties of the Company after the Closing. As discussed in Note 12, the Company had material related party transactions with BridgeBio Pharma during the periods presented in these condensed consolidated financial statements.</w:t>
      </w:r>
    </w:p>
    <w:p>
      <w:pPr>
        <w:pStyle w:val="TextBody"/>
        <w:bidi w:val="0"/>
        <w:spacing w:before="80" w:after="283"/>
        <w:jc w:val="both"/>
        <w:rPr>
          <w:rFonts w:ascii="Times New Roman" w:hAnsi="Times New Roman"/>
          <w:b/>
          <w:i/>
          <w:color w:val="000000"/>
          <w:sz w:val="20"/>
        </w:rPr>
      </w:pPr>
      <w:bookmarkStart w:id="13" w:name="basis_of_presentation"/>
      <w:bookmarkEnd w:id="13"/>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condensed consolidated financial statements are prepared in accordance with generally accepted accounting principles in the United States (“US GAAP”) for interim financial information. All costs, as well as assets and liabilities directly associated with the Company’s business activity, are included in the condensed consolidated financial statements. In connection with the de-SPAC Transaction, as the successor entity following the Closing, BBOT became the reporting entity and consolidates the balances and activity of Legacy BBOT. The financial information presented in these condensed consolidated financial statements reflects the balances and results of operations of the combined entity post-Merger. Prior to the Closing, all references to BBOT or the Company are related to the balances and activity of Legacy BBOT. All intercompany balances have been eliminated in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condensed consolidated financial statements have been prepared on the same basis as the audited annual financial statements and, in the opinion of management, reflect all adjustments, which include only normal recurring adjustments necessary for the fair presentation of the Company’s financial information. The results for the three and six months ended June 30, 2026 are not necessarily indicative of results to be expected for the year ending December 31, 2026 or for any other future annual or interim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From its inception through the issuance of the Series B on April 30, 2024, Legacy BBOT had been majority-owned and controlled by BridgeBio Pharma.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Prior to April 30, 2024, the Company operated as part of BridgeBio Pharma. From inception through April 30, 2024, these condensed consolidated financial statements have been derived from BridgeBio Pharma’s historical accounting records and are presented on a carve-out basis. The condensed consolidated statement of operations includes allocations of certain general and administrative expenses to the Company from BridgeBio Pharma. The allocations have been determined on a reasonable basis. The related transactions are discussed further in Note 12. Following the Series B issuance, no individual investor or related party group held a controlling financial interest in the Company, and BBOT has operated independently from BridgeBio Pharma. Subsequent to April 30, 2024 and prior to the de-SPAC Transaction, the financial information included in these condensed consolidated financial statements relates to Legacy BBOT on a standalone basis. </w:t>
      </w:r>
    </w:p>
    <w:p>
      <w:pPr>
        <w:pStyle w:val="TextBody"/>
        <w:bidi w:val="0"/>
        <w:spacing w:before="200" w:after="283"/>
        <w:jc w:val="both"/>
        <w:rPr>
          <w:rFonts w:ascii="Times New Roman" w:hAnsi="Times New Roman"/>
          <w:b/>
          <w:i/>
          <w:color w:val="000000"/>
          <w:sz w:val="20"/>
        </w:rPr>
      </w:pPr>
      <w:bookmarkStart w:id="14" w:name="liquidity"/>
      <w:bookmarkEnd w:id="14"/>
      <w:r>
        <w:rPr>
          <w:rFonts w:ascii="Times New Roman" w:hAnsi="Times New Roman"/>
          <w:b/>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its inception through June 30, 2026, the Company has incurred net losses. As of June 30, 2026, the Company had an accumulated deficit of $455.1 million and incurred net losses of $56.5 million and $28.4 million during the three months ended June 30, 2026 and June 30, 2025, respectively and $98.6 million and $50.5 million for the six months ended June 30, 2026 and 2025, respectively. As of June 30, 2026, the Company had a balance of cash, cash equivalents, and marketable securities of $344.1 million. The Company believes that its existing cash, cash equivalents, and marketable securities will be sufficient to support operations for at least one year from the issuance date of these condensed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expects to incur additional losses and negative cash flows for the foreseeable future as it continues its research and development efforts, advances its product candidates through preclinical and clinical development, enhances its approach and programs, expands its product pipeline, seeks regulatory approval, prepares for commercialization, hires additional personnel, protects its intellectual property, operates as a public company, and grows its business. The Company will need to raise additional capital to support its continuing operations and pursue its long-term business plan, including the development and commercialization of its product candidates if approved. Financing activities may include, but are not limited to, public or private equity offerings, debt financings, potential collaborations, licensing agreements, or other sources. Such activities are subject to significant risks and uncertainties.</w:t>
      </w:r>
    </w:p>
    <w:p>
      <w:pPr>
        <w:pStyle w:val="Heading2"/>
        <w:bidi w:val="0"/>
        <w:spacing w:before="200" w:after="283"/>
        <w:jc w:val="both"/>
        <w:rPr>
          <w:rFonts w:ascii="Times New Roman" w:hAnsi="Times New Roman"/>
          <w:color w:val="000000"/>
          <w:sz w:val="20"/>
        </w:rPr>
      </w:pPr>
      <w:bookmarkStart w:id="15" w:name="note_2_summary_of_significant_accounting"/>
      <w:bookmarkEnd w:id="15"/>
      <w:r>
        <w:rPr>
          <w:rFonts w:ascii="Times New Roman" w:hAnsi="Times New Roman"/>
          <w:color w:val="000000"/>
          <w:sz w:val="20"/>
        </w:rPr>
        <w:t>2. Summary of Significant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significant accounting policies are disclosed in the Company’s consolidated financial statements for the year ended December 31, 2025, and related notes. There have been no material changes to the Company’s significant accounting policies as compared to the significant accounting policies described in the Company’s consolidated financial statements for the year ended December 31, 2025 included in the Company's Annual Report on Form 10-K filed with the SEC on March 5, 2026 (the "Form 10-K").</w:t>
      </w:r>
    </w:p>
    <w:p>
      <w:pPr>
        <w:pStyle w:val="TextBody"/>
        <w:bidi w:val="0"/>
        <w:spacing w:before="200" w:after="283"/>
        <w:jc w:val="both"/>
        <w:rPr>
          <w:rFonts w:ascii="Times New Roman" w:hAnsi="Times New Roman"/>
          <w:b/>
          <w:i/>
          <w:color w:val="000000"/>
          <w:sz w:val="20"/>
        </w:rPr>
      </w:pPr>
      <w:bookmarkStart w:id="16" w:name="concentration_of_credit_risk_and_other"/>
      <w:bookmarkEnd w:id="16"/>
      <w:r>
        <w:rPr>
          <w:rFonts w:ascii="Times New Roman" w:hAnsi="Times New Roman"/>
          <w:b/>
          <w:i/>
          <w:color w:val="000000"/>
          <w:sz w:val="20"/>
        </w:rPr>
        <w:t>Concentration of Credit Risk and Other Risks and Uncertainties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cash equivalents, marketable securities, and restricted cash are financial instruments that subject us to significant concentrations of credit risk. These financial instruments are held in financial institutions in the United States. At times, the amounts on deposit may exceed federally insured limits. We believe that these financial institutions are financially sound, and, accordingly, minimal credit risk exists with respect to the amounts deposited. The Company has not experienced any credit losses associated with its balances in such accounts through June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certain risks and uncertainties, and we believe that changes in any of the following areas could have a material adverse effect on future financial position or results of operations: ability to obtain future financing, regulatory approval and market acceptance of, and reimbursement for, product candidates, performance of third-party contract research organizations and manufacturers upon which we rely, protection of our intellectual property, litigation or claims against us based on intellectual property, patent, product, regulatory, clinical or other factors, and our ability to attract and retain employees necessary to support our growth.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depend on third-party manufacturers to supply products for research and development activities in our programs. Specifically, we rely on and expect to continue relying on a small number of manufacturers to supply our requirements for active pharmaceutical ingredients and formulated drugs related to these programs. A significant interruption in the supply of active pharmaceutical ingredients and formulated drugs could adversely affect these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bookmarkStart w:id="17" w:name="use_of_estimates"/>
      <w:bookmarkEnd w:id="17"/>
      <w:r>
        <w:rPr>
          <w:rFonts w:ascii="Times New Roman" w:hAnsi="Times New Roman"/>
          <w:b/>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estimates and assumptions that affect the reported amounts of assets, liabilities, and disclosure of contingent liabilities at the date of the condensed consolidated financial statements, and the reported amounts of expenses during the reporting period. Significant estimates and assumptions made in the accompanying condensed consolidated financial statements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Accruals for research and development activities and contingent clinical, development, regulatory, and sales-based milestone payments in our in-licensing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share-based awards and participation right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Recoverability of deferred tax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Allocations of operating expenses,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determination of the incremental borrowing rate used in lease-related calculations.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bases its estimates on historical experience and various other reasonable assumptions. Actual results may differ from those estimates or assumptions.</w:t>
      </w:r>
    </w:p>
    <w:p>
      <w:pPr>
        <w:pStyle w:val="TextBody"/>
        <w:bidi w:val="0"/>
        <w:spacing w:before="200" w:after="283"/>
        <w:jc w:val="both"/>
        <w:rPr>
          <w:rFonts w:ascii="Times New Roman" w:hAnsi="Times New Roman"/>
          <w:b/>
          <w:i/>
          <w:color w:val="000000"/>
          <w:sz w:val="20"/>
        </w:rPr>
      </w:pPr>
      <w:bookmarkStart w:id="18" w:name="cash_cash_equivalents_and_restricted"/>
      <w:bookmarkEnd w:id="18"/>
      <w:r>
        <w:rPr>
          <w:rFonts w:ascii="Times New Roman" w:hAnsi="Times New Roman"/>
          <w:b/>
          <w:i/>
          <w:color w:val="000000"/>
          <w:sz w:val="20"/>
        </w:rPr>
        <w:t>Cash, Cash Equivalents, and Restricted Cash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considers all highly liquid investments purchased with a maturity of three months or less at the date of purchase to be cash equivalents. As of June 30, 2026, cash and cash equivalents consisted of money market funds. As of December 31, 2025, cash and cash equivalents consisted of money market funds and commercial paper. Restricted cash represented security deposits in the form of a letter of credit issued in connection with the Company’s lease agreement. The cash, cash equivalents, and restricted cash balance included the following (in thousands):</w:t>
      </w:r>
    </w:p>
    <w:p>
      <w:pPr>
        <w:pStyle w:val="TextBody"/>
        <w:bidi w:val="0"/>
        <w:jc w:val="both"/>
        <w:rPr/>
      </w:pPr>
      <w:r>
        <w:rPr/>
        <w:t> </w:t>
      </w:r>
    </w:p>
    <w:tbl>
      <w:tblPr>
        <w:tblW w:w="7167" w:type="dxa"/>
        <w:jc w:val="left"/>
        <w:tblInd w:w="0" w:type="dxa"/>
        <w:tblLayout w:type="fixed"/>
        <w:tblCellMar>
          <w:top w:w="28" w:type="dxa"/>
          <w:left w:w="28" w:type="dxa"/>
          <w:bottom w:w="28" w:type="dxa"/>
          <w:right w:w="28" w:type="dxa"/>
        </w:tblCellMar>
      </w:tblPr>
      <w:tblGrid>
        <w:gridCol w:w="4191"/>
        <w:gridCol w:w="146"/>
        <w:gridCol w:w="211"/>
        <w:gridCol w:w="676"/>
        <w:gridCol w:w="146"/>
        <w:gridCol w:w="146"/>
        <w:gridCol w:w="268"/>
        <w:gridCol w:w="992"/>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Marketable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generally invests its excess cash in money market funds and investment grade short to intermediate-term fixed income securities. Such investments are included in cash and cash equivalents, short-term marketable securities or long-term marketable securities on the condensed consolidated balance sheets, and are considered available-for-sale. The Company classifies investments in securities with remaining maturities of less than one year, or where its intent is to use the investments to fund current operations or to make them available for current operations, as short-term investments. The Company classifies investments in securities with remaining maturities of over one year as long-term investments, unless intended to fund current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available for-sale securities are carried at fair value with the unrealized gains and losses included in accumulated other comprehensive income as a component of stockholders’ equity until realized. Realized gains and losses are calculated using the specific identification method and recorded as other income (expense) in the condensed consolidated statement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reports the accrued interest receivable as a component of prepaid and other assets on its condensed consolidated balance sheet, which is presented separately from available-for-sale securities. The Company does not measure an allowance for credit losses on accrued interest receivable and instead writes it off if an issuer defaults or is expected to default on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available-for-sale securities in an unrealized loss position, the Company first assesses whether it intends to sell, or if it is more likely than not that it will be required to sell, the security before recovery of its amortized cost basis. If either of the criteria regarding intent or requirement to sell is met, the security’s amortized cost basis is written down to fair value through income or loss. For available-for-sale securities that do not meet the above criteria, the Company evaluates whether the decline in fair value has resulted from credit losses or other factors. In making this assessment, the Company considers the severity of the impairment,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income or loss. No allowance for credit losses has been recorded as of June 30, 2026 or December 31, 2025.</w:t>
      </w:r>
    </w:p>
    <w:p>
      <w:pPr>
        <w:pStyle w:val="TextBody"/>
        <w:bidi w:val="0"/>
        <w:jc w:val="both"/>
        <w:rPr/>
      </w:pPr>
      <w:r>
        <w:rPr/>
        <w:t> </w:t>
      </w:r>
    </w:p>
    <w:p>
      <w:pPr>
        <w:pStyle w:val="TextBody"/>
        <w:bidi w:val="0"/>
        <w:jc w:val="both"/>
        <w:rPr>
          <w:rFonts w:ascii="Times New Roman" w:hAnsi="Times New Roman"/>
          <w:b/>
          <w:i/>
          <w:color w:val="000000"/>
          <w:sz w:val="20"/>
        </w:rPr>
      </w:pPr>
      <w:bookmarkStart w:id="19" w:name="fair_value_measurements"/>
      <w:bookmarkEnd w:id="19"/>
      <w:r>
        <w:rPr>
          <w:rFonts w:ascii="Times New Roman" w:hAnsi="Times New Roman"/>
          <w:b/>
          <w:i/>
          <w:color w:val="000000"/>
          <w:sz w:val="20"/>
        </w:rPr>
        <w:t>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Assets and liabilities recorded at fair value on a recurring basis in the balance sheets are categorized based 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Observable inputs such as unadjusted, quoted prices in active markets for identical assets or liabilities at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Inputs (other than quoted prices included in Level 1) that are either directly or indirectly observable for the asset or liability. These include quoted prices for similar assets or liabilities in active markets and quoted prices for identical or similar assets or liabilities in markets that are not active;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Unobservable inputs supported by little or no market activity and significant to the fair value of the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the valuation is based on models or inputs that are less observable or unobservable in the market, the determination of fair value requires more judgment. Accordingly, the degree of judgment we exercise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their short-term nature, the carrying amounts of cash, cash equivalents, prepaid expenses and other current assets, accounts payable, and other accrued liabilities in the accompanying condensed consolidated balance sheet approximate their fair values.</w:t>
      </w:r>
    </w:p>
    <w:p>
      <w:pPr>
        <w:pStyle w:val="TextBody"/>
        <w:bidi w:val="0"/>
        <w:spacing w:before="200" w:after="283"/>
        <w:jc w:val="both"/>
        <w:rPr>
          <w:rFonts w:ascii="Times New Roman" w:hAnsi="Times New Roman"/>
          <w:b/>
          <w:i/>
          <w:color w:val="000000"/>
          <w:sz w:val="20"/>
        </w:rPr>
      </w:pPr>
      <w:bookmarkStart w:id="20" w:name="leases"/>
      <w:bookmarkEnd w:id="20"/>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determines if an arrangement contains a lease at inception and the classification of the lease on the commencement date. An arrangement contains a lease if there is an identified asset and if the Company controls the use of the identified asset throughout the period of use. The Company determines whether leases meet the classification criteria of a finance or operating lease considering: (1) whether the lease transfers ownership of the underlying asset to the lessee at the end of the lease term, (2) whether the lease grants the lessee an option to purchase the underlying asset that the lessee is reasonably certain to exercise, (3) whether the lease term is for a major part of the remaining economic life of the underlying asset, (4) whether the present value of the sum of the lease payments and residual value guaranteed by the lessee equals or exceeds substantially all of the fair value of the underlying asset, and (5) whether the underlying asset is of such a specialized nature that it is expected to have no alternative use to the lessor at the end of the lease term. As of June 30, 2026, our lease population consisted primarily of real estate operating leases. Lease right-of-use assets and lease liabilities are recognized at the lease commencement date based on the present value of the future minimum lease payments over the lease term at the commencement date. Right-of-use assets also include any initial direct costs incurred and any lease payments made on or before the lease commencement date, less any lease incentives received. Lease incentives are included in the calculation of lease liability as of the commencement date to the extent it is probable that the Company will utilize them.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determining the present value of its lease liabilities, the Company uses its incremental borrowing rate when the rate implicit in the lease is not readily determinable, based on information available as of the lease commencement date.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judgments, including on its synthetic credit rating. Leases may include options to extend or early terminate the lease term. If the Company, using judgment, is reasonably certain that an option will be exercised, then the option will be included in the calculation of the lease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elected to combine lease and non-lease components for office leases, and not to recognize right-of-use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are stated at cost, net of accumulated depreciation. Depreciation of property and equipment is calculated using the straight-line method over the asset’s estimated useful life. Our property and equipment consist of purchased software with an estimated useful life of 3 years, lab equipment with an estimated useful life of 5 years and leasehold improvements amortized over the shorter of 5 years or the remaining lease term. Maintenance and repairs that do not improve or extend the life of the assets are expensed when incurred. Depreciation expense for property and equipment was $0.1 million for the three months ended June 30, 2026 and 2025, respectively, and $0.2 million and $0.1 million for the six months ended June 30, 2026 and 2025,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Long-lived assets are reviewed for impairment whenever events or changes in circumstances indicate that the carrying amount of an asset may not be recoverable. Recoverability is measured by comparing the carrying amount of an asset group to the future net undiscounted cash flows the assets are expected to generate. If the carrying amount of an asset group exceeds its estimated future cash flows, an impairment charge is recognized in the amount by which the carrying amount of the asset group exceeds the fair value of the asset group. No impairment charges related to long-lived assets have been recorded during the three and six months ended June 30, 2026 and 2025.</w:t>
      </w:r>
    </w:p>
    <w:p>
      <w:pPr>
        <w:pStyle w:val="TextBody"/>
        <w:bidi w:val="0"/>
        <w:spacing w:before="200" w:after="283"/>
        <w:jc w:val="both"/>
        <w:rPr>
          <w:rFonts w:ascii="Times New Roman" w:hAnsi="Times New Roman"/>
          <w:b/>
          <w:i/>
          <w:color w:val="000000"/>
          <w:sz w:val="20"/>
        </w:rPr>
      </w:pPr>
      <w:bookmarkStart w:id="21" w:name="segments"/>
      <w:bookmarkEnd w:id="21"/>
      <w:r>
        <w:rPr>
          <w:rFonts w:ascii="Times New Roman" w:hAnsi="Times New Roman"/>
          <w:b/>
          <w:i/>
          <w:color w:val="000000"/>
          <w:sz w:val="20"/>
        </w:rPr>
        <w:t>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operates in one operating and reportable segment within the United States, developing oncology therapies through various related development projects. All of the Company’s assets are located in the United States. The single operating segment conclusion is further supported by the Company’s organizational and management structure and other factors. The Company’s chief operating decision-maker is its Chief Executive Officer, who manages operations, allocates resources, and evaluates financial performance using a top-down approach and by setting and reviewing company-wide targets. Subsequent to the completion of the de-SPAC Transaction, during the third fiscal quarter of 2025, the Company changed the segment information regularly provided to the chief operating decision maker to the below aggregated grouping of expense categories, which is the basis on which the chief operating decision-maker assesses segment performance and allocates resources. The prior period information has been recast to reflect this update. The chief operating decision-maker reviews research and development expenses by the following significant categories presented in the table below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58"/>
        <w:gridCol w:w="260"/>
        <w:gridCol w:w="833"/>
        <w:gridCol w:w="179"/>
        <w:gridCol w:w="179"/>
        <w:gridCol w:w="260"/>
        <w:gridCol w:w="833"/>
        <w:gridCol w:w="146"/>
        <w:gridCol w:w="146"/>
        <w:gridCol w:w="236"/>
        <w:gridCol w:w="758"/>
        <w:gridCol w:w="163"/>
        <w:gridCol w:w="163"/>
        <w:gridCol w:w="236"/>
        <w:gridCol w:w="758"/>
        <w:gridCol w:w="197"/>
      </w:tblGrid>
      <w:tr>
        <w:trPr/>
        <w:tc>
          <w:tcPr>
            <w:tcW w:w="48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trials and consumables expenses</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37,528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66,376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expenses</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49,225</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89,027</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the Company operates in a single operating and reportable segment represented by the entire entity, significant segment expenses are provided to the chief operating decision-maker using the same basis as presented in the condensed consolidated statements of operations, including the research and development itemization above. Net loss is the key measure of segment profit and loss that the chief operating decision-maker uses to allocate resources, assess performance, monitor expenditures, and conduct a review of budget versus actual analysis. The chief operating decision-maker does not review assets at a different level or category other than the amounts disclosed in the Company’s condensed consolidated balance sheets.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Receivables from and Payables to Related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Receivables from and payables to related parties represent the amounts due to and from various BridgeBio Pharma entities, which are expected to be settled in cash within 12 months from the reporting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April 30, 2024, receivables from related parties represented receivables under the centralized cash management balances used by BridgeBio Pharma for cash management and to finance its operations. These arrangements may not reflect how the Company would have financed its operations had it been a separate, standalone entity during the applicable periods. Changes in related-party receivables arising from cash pooling arrangements are presented as investing activities in the condensed consolidated statements of cash flows. Subsequent to April 30, 2024, receivables from related parties represent amounts due from various BridgeBio Pharma entities for services rendered by the Company under the transition services agreement. Payables to related parties represent the amounts due for various research and development and administrative services performed by BridgeBio Pharma to the Company. Prior to April 30, 2024, none of BridgeBio Pharma’s third-party debt and related interest has been attributed to the Company because the Company is not the legal obligor of the debt, and the borrowings are not specifically identifiable to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April 30, 2024, the Company continued its relationship with various BridgeBio Pharma entities, which remain related parties. While the nature of these interactions shifted from centralized cash management to services provided under the transition services agreement, the resulting receivables and payables are reported separately as current assets or liabilities in the condensed consolidated balance sheets.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consist of salaries, benefits, and other personnel-related costs, including stock-based compensation, costs associated with laboratory supplies, preclinical studies, clinical trials, and related clinical manufacturing costs, costs related to manufacturing preparations, fees paid to other entities to conduct certain research and development activities on our behalf, and allocated facility and other related costs. Non-refundable advance payments for goods or services that will be used or rendered for future research and development activities are deferred and capitalized as prepaid expenses until the related goods are delivered or services are performed.</w:t>
      </w:r>
    </w:p>
    <w:p>
      <w:pPr>
        <w:pStyle w:val="TextBody"/>
        <w:bidi w:val="0"/>
        <w:spacing w:before="200" w:after="283"/>
        <w:jc w:val="both"/>
        <w:rPr>
          <w:rFonts w:ascii="Times New Roman" w:hAnsi="Times New Roman"/>
          <w:sz w:val="20"/>
        </w:rPr>
      </w:pPr>
      <w:r>
        <w:rPr>
          <w:rFonts w:ascii="Times New Roman" w:hAnsi="Times New Roman"/>
          <w:b/>
          <w:i/>
          <w:color w:val="000000"/>
          <w:sz w:val="20"/>
        </w:rPr>
        <w:t>Accrued Research and Development Liabilities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accruals for estimated costs of research and development activities performed by third-party service providers, including preclinical studies, clinical trials, and contract manufacturing. We record the estimated costs of research and development activities based on the estimated amount of services provided but not yet invoiced and include these costs in accrued research and development liabilities in the condensed consolidated balance sheets and within research and development expenses in the condensed consolidated statements of operations and comprehensive loss. These costs are a significant component of our research and development expenses. Examples of estimated research and development expenses that we accrue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contract research organizations (“CROs”) in connection with preclinical and toxicology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investigative sites in connection with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contract manufacturing organizations in connection with the production of investigational product and clinical trial materials;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Professional service fees for consulting and related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base our expense accruals for clinical trials on estimates of services received and efforts expended under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patient enrollment and the completion of clinical trial milestones. Our service providers generally invoice us monthly in arrears for services performed. In accruing service fees, we estimate the period over which services will be performed and the level of effort to be expended in each period. If we do not identify costs we have already incurred, or if we underestimate or overestimate the level of services performed or the costs of those services, our actual expenses could differ from our estimates. We record advance payments to service providers as prepaid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record accruals for the estimated costs of third-party contract manufacturing activities. The financial terms of these agreements are negotiable, vary from contract to contract, and may result in uneven payment flows to our vendors. Payments under the contracts include upfront payments and milestone payments, which depend on factors such as the completion of certain stages of the manufacturing process. To recognize an expense, we assess whether the production process is sufficiently defined to be the delivery of a good or a service, given that processes and yields are developing and less certain. If we consider the process to be the delivery of a good, we recognize the expense when the drug product is delivered, or we otherwise bear the risk of loss. If we consider the process to be the delivery of a service, we recognize expenses based on our best estimates of the contract manufacturer’s progress through the contract stages. We base our estimates on the best information available at the time. However, additional information may become available to us, enabling us to make a more accurate estimate in future reporting periods. In this event, we may be required to record adjustments to research and development expenses in future reporting periods when the actual level of activity becomes more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increases or decreases in cost are generally considered to be changes in estimates and will be reflected in research and development expenses in the reporting period identified.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represent salaries, benefits, and other personnel-related costs, including stock-based compensation, fair value of common stock issued to BridgeBio Pharma (refer to Note 12), costs related to third-party service providers, and professional and legal fees.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Asset Acquisitions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measures and recognizes asset acquisitions that are not deemed to be business combinations based on the cost to acquire the assets, which includes transaction costs. Goodwill is not recognized in asset acquisitions. The costs allocated to acquire in-process research and development (“IPR&amp;D”) with no alternative future use are expensed as research and development as of the asset acquisition date. Contingent consideration payments for asset acquisitions include development, regulatory, and sales-based milestone payments due upon the occurrence of a specific event. Contingent payments are recognized when the milestone is met unless the contingent consideration meets the definition of a derivative, in which case the amount becomes part of the cost of the asset acquired. None of the contingent payments represented a derivative through June 30, 2026. Upon recognition of the contingent consideration payment, the amount is expensed as research and development expense if it relates to IPR&amp;D with no alternative future use or capitalized if it relates to a developed product, which is generally when clinical trials have been completed and regulatory approval obtained.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Milestone Payments Under In-Licensing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our in-licensing agreements, the Company is required to pay development, regulatory, and sales-based milestone payments upon the achievement of certain substantive milestones. We recognize development milestones once they are achieved.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Stock-based compensation is recorded in research and development expenses or general and administrative expenses based on the grantee's function.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Stock-based compensation includes expenses related to common stock options and restricted stock units granted by the Company. The associated stock-based compensation is generally recognized on a straight-line basis over the requisite service period, which is generally the vesting period. Forfeitures of share-based awards are accounted for as they occur. The fair value of stock options is estimated on the grant date using the Black-Scholes option-pricing model, which requires certain assumptions further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of Common Stock — Prior to the de-SPAC Transaction, the fair value of the Company’s common stock was determined by the board of directors (“Board”) with input from management and consideration of third-party valuation reports. In the absence of a public trading market, and as a clinical-stage company with no significant revenues, the Company believes that it was appropriate to consider a range of factors to determine the fair market value of the common stock at each grant date. In addition, the Company considered various objective and subjective factors, along with input from the independent third-party valuation firm. The factors included (1) the achievement of the development milestones by the Company; (2) the significant risks associated with the Company’s stage of development; (3) capital market conditions for comparable, privately held, early-stage life science companies; (4) the Company’s available liquidity, financial condition, and results of operations; (5) the sales of the Company’s shares to third parties, such as the Series B financing; and (6) the preferential rights of the redeemable convertible preferred stockholders. Following the de-SPAC Transaction, the Company became a public entity and derives fair value of its common stock from quoted prices on the Nasdaq.</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Dividend Yield — The Company has historically paid no dividends and does not anticipate paying dividends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Equity Volatility — The Company does not have sufficient trading history for its common stock and has computed expected volatility based on the historical volatility of a representative group of public companies with similar characteristics to the Company (e.g., public entities of similar size, complexity, stage of development, and industry focus). The historical volatility is commensurate with the expected term assumption.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Risk-Free Interest Rate — The risk-free interest rate is determined by reference to the U.S. Treasury yield curve in effect at the time of award grant for the expected term of the award.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Term — The Company uses the simplified method to calculate the expected term for options granted to employees as it does not have sufficient historical exercise data to provide a reasonable basis for estimating the expected term.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Accrued Milestone Compensation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Historically we have had performance-based milestone compensation arrangements with certain employees and consultants, whose vesting is contingent upon meeting various regulatory and development milestones, with fixed monetary amounts known at inception that can be settled upon achievement of certain contingent milestones in the form of (1) cash, (2) equity of BridgeBio Pharma, or (3) cash or equity of BridgeBio Pharma or the Company at the issuer’s sole election. No performance milestone awards that may be settled in the Company’s shares or related liabilities were outstanding as of June 30, 2026 or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arrangements that involve settlement by cash or equity of BridgeBio Pharma or the Company at their sole election, the Company classifies the milestone compensation arrangements as liability-classified awards when they are assessed as probable of achievement due to the possible fixed monetary settlement outcomes. The arrangements could also result in a settlement with a variable number of shares based on the then-current stock price at the achievement date of each contingent milestone, should we elect to settle in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accruals for the compensation expense arising from each development milestone when the specific contingent development milestone is probable of achievement, and such accruals are measured at each reporting period. We estimate the probability of achieving such milestones based on the progression and expected outcome of the related clinical programs. We base our estimates on the best available information at that time. However, additional information may become available to us which may allow us to make a more accurate estimate in future periods. In this event, we may be required to record adjustments to milestone compensation expenses in future periods. Any increases or decreases in such expenses are generally considered to be changes in estimates and will be reflected in the reporting period identified.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Participation 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participation right liability represented the right granted to a third party to potentially participate in future Series B offerings at a fixed price of $8.8554 per share. The participation right was a freestanding instrument substantially similar to a written call option on the Series B shares that may be redeemed outside of the Company’s control. As such, the Company classified the participation right as a liability, remeasured at fair value, until its full exercise and settlement, which occurred in April 2025. Changes in the fair value of the participation right liability are presented separately in the condensed consolidated statements of operations during the six months ended June 30, 2025. On the settlement date, in April 2025, the participation right liability was remeasured to the intrinsic value of the shares issued and reclassified to temporary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subject to U.S. federal and state income taxes as a corporation. The Company’s tax provision and the resulting effective tax rate for interim periods is determined based upon its estimated annual effective tax rate adjusted for the effect of discrete items arising in that quarter. There was no provision for income tax for the three and six months ended June 30, 2026 or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taxes are accounted for under the asset-and-liability method. Deferred tax assets and liabilities are recognized for the future tax consequences attributable to differences between the carrying amounts of existing assets and liabilities in the condensed consolidated financial statements, their respective tax bases, and net operating loss and tax credit carryforwards. Deferred tax assets and liabilities are determined based on the difference between the carrying amounts under U.S. GAAP and the tax basis of assets and liabilities and are measured using the enacted tax rate expected to apply to taxable income in the years in which the differences are expected to be reversed. Deferred tax assets are reduced by a valuation allowance if it is more likely than not that some portion or all of the deferred tax asset will not be realized.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our deferred tax assets regularly to determine whether adjustments to the valuation allowance are appropriate due to changes in facts or circumstances, such as changes in expected future pre-tax earnings, tax law, interactions with taxing authorities, and developments in case law. In making this evaluation, we rely on our recent history of pre-tax earnings or losses. Our material assumptions include forecasts of future pre-tax earnings and the nature and timing of future deductions and income represented by deferred tax assets and liabilities, all of which involve judgment. Although we believe our estimates are reasonable, we are required to exercise significant judgment in determining the appropriate valuation allowance for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uncertain income tax positions at the largest amount that is more likely than not to be sustained upon audit by the relevant taxing authority. Changes in recognition or measurement are reflected in the period in which judgment occurs. Our policy is to recognize interest and penalties related to the underpayment of income taxes as a component of the provision for income taxes. To date, no interest or penalties have been recorded concerning unrecognized tax benefits.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the Closing of the de-SPAC Transaction, the Company applied the two-class method to compute net loss per share, as it had issued redeemable convertible preferred stock that met the definition of participating securities. The two-class method required income available to common stockholders for the period to be allocated between common and participating securities based upon their respective rights to receive dividends as if all income for the period had been distributed. Upon the de-SPAC Transaction, the outstanding redeemable convertible preferred stock was converted into common stock, and the two-class method is no longer applicable.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Closing, each outstanding share of Legacy BBOT common stock was exchanged for shares of BBOT common stock based on a ratio of approximately 0.0889 (“Consideration Ratio”). For periods prior to the Closing, the reported share and per share information has been retroactively adjusted to reflect the Consideration Ratio (refer to Note 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Basic net loss per share attributable to common stockholders is computed by dividing the net loss attributable to common stockholders by the weighted average number of common shares outstanding for the period. Diluted net loss per share attributable to common stockholders is computed by dividing the net loss attributable to common stockholders by the weighted average number of common shares outstanding, adjusted for the effect of potentially dilutive common shares, including stock options and other equity-linked instruments. Potentially dilutive common shares are not assumed to be issued if their effect is anti-dilutive. As such, in periods in which the Company reported a net loss, diluted net loss per share attributable to common stockholders was the same as basic net loss per share attributable to common stockholders because the effects of potentially dilutive securities were anti-dilutive.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initially records redeemable convertible preferred stock at fair value on the dates of issuance, less issuance costs. Prior to the de-SPAC Transaction, the preferred stockholders, as a group, controlled the Company’s Board and had the ability to initiate a deemed liquidation event, such as a change in control or transfer of substantially all of the Company’s assets. Upon a deemed liquidation event, the preferred stockholders as a group could cause the redeemable convertible preferred stock to be redeemed for cash and other assets available for distribution. Based on these considerations, the redeemable convertible preferred stock was classified in temporary equity outside of the stockholders’ equity in the accompanying condensed consolidated balance sheets. Subsequent adjustments to the carrying values of the redeemable convertible preferred stock classified in temporary equity are made only if it becomes probable that such liquidation events would occur, causing the shares to become redeemable. No such adjustments were made since the underlying events were not probable while the redeemable convertible preferred stock was outstanding.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evaluated the features of its redeemable convertible preferred stock to determine whether they required bifurcation from the underlying shares by assessing whether they were clearly and closely related to the underlying shares and whether they met the definition of a derivative. The Company concluded that no features of its outstanding redeemable convertible preferred stock required bifurcation and separate accounting.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determining if an extinguishment or modification of changes to the temporary equity-classified preferred stock had occurred, the Company had elected a policy to evaluate if changes added, deleted, or significantly changed a substantive contractual term (e.g., one that was at least reasonably possible of being exercised), or fundamentally changed the nature of the redeemable convertible preferred stock. This evaluation considered both the expected economics and the business purpose of the amendment.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Comprehensive Income or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comprehensive income or loss represents the change in the Company’s stockholders’ equity (deficit) from all sources other than investments by or distributions to stockholders. The Company’s other comprehensive income or loss is the result of unrealized gains and losses on marketable securities.</w:t>
      </w:r>
    </w:p>
    <w:p>
      <w:pPr>
        <w:pStyle w:val="TextBody"/>
        <w:bidi w:val="0"/>
        <w:spacing w:before="200" w:after="283"/>
        <w:jc w:val="both"/>
        <w:rPr>
          <w:rFonts w:ascii="Times New Roman" w:hAnsi="Times New Roman"/>
          <w:sz w:val="20"/>
        </w:rPr>
      </w:pPr>
      <w:bookmarkStart w:id="22" w:name="deferred_de_spac_transaction_costs"/>
      <w:bookmarkEnd w:id="22"/>
      <w:r>
        <w:rPr>
          <w:rFonts w:ascii="Times New Roman" w:hAnsi="Times New Roman"/>
          <w:b/>
          <w:i/>
          <w:color w:val="000000"/>
          <w:sz w:val="20"/>
        </w:rPr>
        <w:t>Deferred de-SPAC</w:t>
      </w:r>
      <w:r>
        <w:rPr>
          <w:rFonts w:ascii="Times New Roman" w:hAnsi="Times New Roman"/>
          <w:color w:val="000000"/>
          <w:sz w:val="20"/>
        </w:rPr>
        <w:t xml:space="preserve"> </w:t>
      </w:r>
      <w:r>
        <w:rPr>
          <w:rFonts w:ascii="Times New Roman" w:hAnsi="Times New Roman"/>
          <w:b/>
          <w:i/>
          <w:color w:val="000000"/>
          <w:sz w:val="20"/>
        </w:rPr>
        <w:t>Transaction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capitalized certain directly attributable legal, accounting, and other third-party fees associated with the de-SPAC Transaction as deferred transaction costs. Upon Closing of the de-SPAC Transaction, the associated costs capitalized by the Company were recorded to additional paid-in capital as a reduction of the proceeds from the de-SPAC Transaction.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bookmarkStart w:id="23" w:name="emerginggrowth_company_status"/>
      <w:bookmarkEnd w:id="23"/>
      <w:r>
        <w:rPr>
          <w:rFonts w:ascii="Times New Roman" w:hAnsi="Times New Roman"/>
          <w:b/>
          <w:i/>
          <w:color w:val="000000"/>
          <w:sz w:val="20"/>
        </w:rPr>
        <w:t>Emerging Growth Company Status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operates as an emerging growth company (“EGC”), as defined in the Jumpstart Our Business Startups Act of 2012 (the “JOBS Act”). Under the JOBS Act, EGCs can delay adopting new or revised accounting standards as of effective dates for private companies. The Company historically operated as part of BridgeBio Pharma and adopted new accounting pronouncements using the same timeline as BridgeBio Pharma.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condensed consolidated financial statements may not be comparable to companies that comply with the new or revised accounting pronouncements as of the effective dates for public companies.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 xml:space="preserve">Financial Instruments – Credit Losses (Topic 326): Measurement of Credit Losses for Accounts Receivable and Contract Assets </w:t>
      </w:r>
      <w:r>
        <w:rPr>
          <w:rFonts w:ascii="Times New Roman" w:hAnsi="Times New Roman"/>
          <w:color w:val="000000"/>
          <w:sz w:val="20"/>
        </w:rPr>
        <w:t>(“ASU 2025-05”). ASU 2025-05 provides an optional practical expedient for estimating future credit losses based on current conditions as of the balance sheet date and assuming those conditions do not change over the remaining life of the accounts receivable. Entities that elect the practical expedient and, if applicable, make the accounting policy election are required to apply the amendments prospectively. The amendments in ASU 2025-05 were effective for fiscal years beginning after December 15, 2025, including interim periods within those fiscal years. The Company has adopted this guidance effective January 1, 2026 and there was no material impact to the condensed consolidated financial statements and related disclosures.</w:t>
      </w:r>
    </w:p>
    <w:p>
      <w:pPr>
        <w:pStyle w:val="TextBody"/>
        <w:bidi w:val="0"/>
        <w:spacing w:before="200" w:after="283"/>
        <w:jc w:val="both"/>
        <w:rPr>
          <w:rFonts w:ascii="Times New Roman" w:hAnsi="Times New Roman"/>
          <w:b/>
          <w:i/>
          <w:color w:val="000000"/>
          <w:sz w:val="20"/>
        </w:rPr>
      </w:pPr>
      <w:bookmarkStart w:id="24" w:name="recently_issued_accounting_pronouncement"/>
      <w:bookmarkEnd w:id="24"/>
      <w:r>
        <w:rPr>
          <w:rFonts w:ascii="Times New Roman" w:hAnsi="Times New Roman"/>
          <w:b/>
          <w:i/>
          <w:color w:val="000000"/>
          <w:sz w:val="20"/>
        </w:rPr>
        <w:t>Recently Issued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 – Reporting Comprehensive Income (Topic 220): Disaggregation of Income Statement Expenses </w:t>
      </w:r>
      <w:r>
        <w:rPr>
          <w:rFonts w:ascii="Times New Roman" w:hAnsi="Times New Roman"/>
          <w:color w:val="000000"/>
          <w:sz w:val="20"/>
        </w:rPr>
        <w:t>(“ASU 2024-03”), which requires public entities to provide disaggregated disclosures of certain expense captions presented on the face of the income statement into specific categories within the footnotes to the financial statements. ASU 2024-03 is effective for the Company’s annual periods beginning on January 1, 2027, and interim periods beginning on January 1, 2028, with early adoption permitted. The ASU may be applied either on a prospective or retrospective basis. The Company is currently evaluating the impact of adopting this new accounting guidance on its condensed financial statements and related disclosures.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May 2025, the FASB issued Accounting Standards Update No. 2025-03, </w:t>
      </w:r>
      <w:r>
        <w:rPr>
          <w:rFonts w:ascii="Times New Roman" w:hAnsi="Times New Roman"/>
          <w:i/>
          <w:color w:val="000000"/>
          <w:sz w:val="20"/>
        </w:rPr>
        <w:t>Business Combinations (Topic 805) and Consolidation (Topic 810): Determining the Accounting Acquirer in the Acquisition of a Variable Interest Entity (</w:t>
      </w:r>
      <w:r>
        <w:rPr>
          <w:rFonts w:ascii="Times New Roman" w:hAnsi="Times New Roman"/>
          <w:color w:val="000000"/>
          <w:sz w:val="20"/>
        </w:rPr>
        <w:t>“ASU 2025-03”). ASU 2025-03 changes how companies determine the accounting acquirer in certain business combinations 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condensed financial statements and related disclosures.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 ("ASU 2025-06")</w:t>
      </w:r>
      <w:r>
        <w:rPr>
          <w:rFonts w:ascii="Times New Roman" w:hAnsi="Times New Roman"/>
          <w:color w:val="000000"/>
          <w:sz w:val="20"/>
        </w:rPr>
        <w:t>. This standard modernizes the accounting for software costs, including updating guidance on the recognition and measurement of costs incurred in connection with development and implementation activities related to internal-use software. The standard is effective for annual reporting periods beginning after December 15, 2027, including interim reporting periods within those fiscal years. The standard can be adopted retrospectively, prospectively or on a modified prospective basis, and early adoption is permitted as of the beginning of an annual reporting period, provided that the financial statements for that period have not yet been issued or made available for issuance. The Company is currently evaluating the impact of the standard on its condensed financial statements and related disclosures and will determine the appropriate transition method prior to adoption.</w:t>
      </w:r>
    </w:p>
    <w:p>
      <w:pPr>
        <w:pStyle w:val="Heading2"/>
        <w:bidi w:val="0"/>
        <w:spacing w:before="200" w:after="283"/>
        <w:jc w:val="both"/>
        <w:rPr>
          <w:rFonts w:ascii="Times New Roman" w:hAnsi="Times New Roman"/>
          <w:color w:val="000000"/>
          <w:sz w:val="20"/>
        </w:rPr>
      </w:pPr>
      <w:bookmarkStart w:id="25" w:name="note_3_pipe_financing_and_de_spac_trans"/>
      <w:bookmarkEnd w:id="25"/>
      <w:r>
        <w:rPr>
          <w:rFonts w:ascii="Times New Roman" w:hAnsi="Times New Roman"/>
          <w:color w:val="000000"/>
          <w:sz w:val="20"/>
        </w:rPr>
        <w:t>3. PIPE Financing and de-SPAC Transaction</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Immediately prior to the de-SPAC Transaction described in Note 1, Helix issued and sold to investors in the PIPE Financing 24,343,711 shares of its common stock for gross proceeds of $260.9 million. In connection with the de-SPAC Transaction, Helix redomiciled as a Delaware corporation and de-registered from the Register of Companies in the Cayman Islands, and Legacy BBOT became a wholly-owned subsidiary of Helix. As a result, BBOT, as the combined company, received $112.3 million in net proceeds from the Trust account previously held by Helix. The Company incurred total transaction costs of $12.4 million consisting of legal, accounting, and other professional fees during the year ended December 31, 2025, all of which had been paid as of March 31, 2026. The Company’s total de-SPAC Transaction costs were recorded to additional paid-in capital as a reduction of the deemed proceeds from the PIPE Financing and the Trust Account.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Upon the Closing of the de-SPAC Transaction, the following occurred with respect to the equity of Legacy BBOT: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Each outstanding share of Legacy BBOT redeemable convertible preferred stock issued and outstanding as of the Closing date was converted into Legacy BBOT common stock.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shares of Legacy BBOT common stock that were issued and outstanding immediately prior to the Closing were cancelled and converted into the right to receive 38,924,563 shares of the Company’s common stock at the Consideration Ratio;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outstanding and unexercised Legacy BBOT common stock options were converted into an aggregate of 4,078,552 common stock options of the Company with the same terms and conditions, adjusted based on the Consideration Ratio.</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Immediately after the Closing, the Company’s outstanding common stock included the following components: </w:t>
      </w:r>
    </w:p>
    <w:tbl>
      <w:tblPr>
        <w:tblW w:w="6790" w:type="dxa"/>
        <w:jc w:val="left"/>
        <w:tblInd w:w="0" w:type="dxa"/>
        <w:tblLayout w:type="fixed"/>
        <w:tblCellMar>
          <w:top w:w="28" w:type="dxa"/>
          <w:left w:w="28" w:type="dxa"/>
          <w:bottom w:w="28" w:type="dxa"/>
          <w:right w:w="28" w:type="dxa"/>
        </w:tblCellMar>
      </w:tblPr>
      <w:tblGrid>
        <w:gridCol w:w="5251"/>
        <w:gridCol w:w="146"/>
        <w:gridCol w:w="146"/>
        <w:gridCol w:w="1036"/>
        <w:gridCol w:w="21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BBOT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38,924,563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Helix common stock subject to redemption prior to the Closing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Redemption of Helix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Helix common stock held by the Sponsor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of Helix issued in the PIPE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24,343,711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79,196,710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de-SPAC Transaction was accounted for as a reverse recapitalization under U.S. GAAP because Legacy BBOT was identified as the accounting acquirer and Helix as the accounting acquiree for financial reporting purposes. Accordingly, these condensed consolidated financial statements of the Company are presented as a continuation of the financial statements of Legacy BBOT. The de-SPAC Transaction is presented as the issuance of common stock by BBOT for the net assets of Helix and proceeds from the PIPE Financing, accompanied by a recapitalization and a change in the reporting entity. The net assets of Helix were recorded at historical cost as of the Closing date, with no goodwill or other intangible assets recognized.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Legacy BBOT was determined to be the accounting acquirer based on the following facts and circumstances as of the Closing date: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Legacy BBOT stockholders comprised a relative majority of the voting power of BBOT;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Legacy BBOT stockholders received the ability to influence decisions regarding the election and removal of members of BBOT’s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Legacy BBOT stockholders received the right to appoint the majority of the BBOT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Legacy BBOT’s operations prior to the de-SPAC Transaction comprised the only ongoing operations of BBOT;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BBOT substantially assumed the Legacy BBOT name;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Legacy BBOT’s headquarters became BBOT’s headquarters;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Legacy BBOT’s senior management comprised the senior management of BBOT;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Closing, Helix did not meet the definition of a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200" w:after="283"/>
        <w:jc w:val="both"/>
        <w:rPr>
          <w:rFonts w:ascii="Times New Roman" w:hAnsi="Times New Roman"/>
          <w:color w:val="000000"/>
          <w:sz w:val="20"/>
        </w:rPr>
      </w:pPr>
      <w:bookmarkStart w:id="26" w:name="note_4_fair_value_measurements_and_disc"/>
      <w:bookmarkEnd w:id="26"/>
      <w:r>
        <w:rPr>
          <w:rFonts w:ascii="Times New Roman" w:hAnsi="Times New Roman"/>
          <w:color w:val="000000"/>
          <w:sz w:val="20"/>
        </w:rPr>
        <w:t>4. Fair Value Measurements and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summarize the Company’s assets and liabilities measured at fair value on a recurring basis by level within the valuation hierarchy (in thousands):</w:t>
      </w:r>
    </w:p>
    <w:p>
      <w:pPr>
        <w:pStyle w:val="TextBody"/>
        <w:bidi w:val="0"/>
        <w:jc w:val="both"/>
        <w:rPr/>
      </w:pPr>
      <w:r>
        <w:rPr/>
        <w:t> </w:t>
      </w:r>
    </w:p>
    <w:tbl>
      <w:tblPr>
        <w:tblW w:w="8254" w:type="dxa"/>
        <w:jc w:val="left"/>
        <w:tblInd w:w="0" w:type="dxa"/>
        <w:tblLayout w:type="fixed"/>
        <w:tblCellMar>
          <w:top w:w="28" w:type="dxa"/>
          <w:left w:w="28" w:type="dxa"/>
          <w:bottom w:w="28" w:type="dxa"/>
          <w:right w:w="28" w:type="dxa"/>
        </w:tblCellMar>
      </w:tblPr>
      <w:tblGrid>
        <w:gridCol w:w="3281"/>
        <w:gridCol w:w="211"/>
        <w:gridCol w:w="676"/>
        <w:gridCol w:w="146"/>
        <w:gridCol w:w="146"/>
        <w:gridCol w:w="211"/>
        <w:gridCol w:w="781"/>
        <w:gridCol w:w="146"/>
        <w:gridCol w:w="146"/>
        <w:gridCol w:w="277"/>
        <w:gridCol w:w="458"/>
        <w:gridCol w:w="146"/>
        <w:gridCol w:w="146"/>
        <w:gridCol w:w="211"/>
        <w:gridCol w:w="781"/>
        <w:gridCol w:w="491"/>
      </w:tblGrid>
      <w:tr>
        <w:trPr/>
        <w:tc>
          <w:tcPr>
            <w:tcW w:w="3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marketable securities: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Treasury bills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Certificates of deposit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marketable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marketable securities: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Treasury bills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long-term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290,067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343,670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400" w:type="dxa"/>
        <w:jc w:val="left"/>
        <w:tblInd w:w="0" w:type="dxa"/>
        <w:tblLayout w:type="fixed"/>
        <w:tblCellMar>
          <w:top w:w="28" w:type="dxa"/>
          <w:left w:w="28" w:type="dxa"/>
          <w:bottom w:w="28" w:type="dxa"/>
          <w:right w:w="28" w:type="dxa"/>
        </w:tblCellMar>
      </w:tblPr>
      <w:tblGrid>
        <w:gridCol w:w="3281"/>
        <w:gridCol w:w="146"/>
        <w:gridCol w:w="211"/>
        <w:gridCol w:w="781"/>
        <w:gridCol w:w="146"/>
        <w:gridCol w:w="146"/>
        <w:gridCol w:w="211"/>
        <w:gridCol w:w="676"/>
        <w:gridCol w:w="146"/>
        <w:gridCol w:w="146"/>
        <w:gridCol w:w="277"/>
        <w:gridCol w:w="458"/>
        <w:gridCol w:w="146"/>
        <w:gridCol w:w="146"/>
        <w:gridCol w:w="211"/>
        <w:gridCol w:w="781"/>
        <w:gridCol w:w="491"/>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371,832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423,605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Money market funds and short-term "on-the-run" treasuries in cash equivalents, are highly liquid and actively traded marketable securities that generally transact at a stable $1.00 net asset value, representing their estimated fair value. The fair value of these marketable securities is based upon observable market inputs obtained from third-party pricing services. The pricing services use industry-standard valuation models and observable inputs, including reported trades, broker-dealer quotes, bids or offers on the same or similar securities issuer, credit spreads, benchmark securities, prepayment and default projections based on historical data, and other observable inputs.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participation right liability was settled in full in April 2025 and was no longer outstanding as of December 31, 2025.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the amortized cost and fair value of the Company’s cash equivalents and marketable securities by major investment category for the periods indicated (in thousands):</w:t>
      </w:r>
    </w:p>
    <w:p>
      <w:pPr>
        <w:pStyle w:val="TextBody"/>
        <w:bidi w:val="0"/>
        <w:jc w:val="both"/>
        <w:rPr/>
      </w:pPr>
      <w:r>
        <w:rPr/>
        <w:t> </w:t>
      </w:r>
    </w:p>
    <w:tbl>
      <w:tblPr>
        <w:tblW w:w="8684" w:type="dxa"/>
        <w:jc w:val="left"/>
        <w:tblInd w:w="0" w:type="dxa"/>
        <w:tblLayout w:type="fixed"/>
        <w:tblCellMar>
          <w:top w:w="28" w:type="dxa"/>
          <w:left w:w="28" w:type="dxa"/>
          <w:bottom w:w="28" w:type="dxa"/>
          <w:right w:w="28" w:type="dxa"/>
        </w:tblCellMar>
      </w:tblPr>
      <w:tblGrid>
        <w:gridCol w:w="3181"/>
        <w:gridCol w:w="146"/>
        <w:gridCol w:w="213"/>
        <w:gridCol w:w="793"/>
        <w:gridCol w:w="146"/>
        <w:gridCol w:w="146"/>
        <w:gridCol w:w="392"/>
        <w:gridCol w:w="644"/>
        <w:gridCol w:w="146"/>
        <w:gridCol w:w="146"/>
        <w:gridCol w:w="315"/>
        <w:gridCol w:w="721"/>
        <w:gridCol w:w="166"/>
        <w:gridCol w:w="146"/>
        <w:gridCol w:w="211"/>
        <w:gridCol w:w="78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119,161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653" w:type="dxa"/>
        <w:jc w:val="left"/>
        <w:tblInd w:w="0" w:type="dxa"/>
        <w:tblLayout w:type="fixed"/>
        <w:tblCellMar>
          <w:top w:w="28" w:type="dxa"/>
          <w:left w:w="28" w:type="dxa"/>
          <w:bottom w:w="28" w:type="dxa"/>
          <w:right w:w="28" w:type="dxa"/>
        </w:tblCellMar>
      </w:tblPr>
      <w:tblGrid>
        <w:gridCol w:w="3181"/>
        <w:gridCol w:w="146"/>
        <w:gridCol w:w="239"/>
        <w:gridCol w:w="767"/>
        <w:gridCol w:w="146"/>
        <w:gridCol w:w="146"/>
        <w:gridCol w:w="414"/>
        <w:gridCol w:w="622"/>
        <w:gridCol w:w="146"/>
        <w:gridCol w:w="146"/>
        <w:gridCol w:w="392"/>
        <w:gridCol w:w="644"/>
        <w:gridCol w:w="166"/>
        <w:gridCol w:w="146"/>
        <w:gridCol w:w="228"/>
        <w:gridCol w:w="733"/>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unrealized gains or losses on cash equivalents as of June 30, 2026, and December 31, 2025. As of June 30, 2026 and December 31, 2025, some of the Company's marketable securities were in an unrealized loss position. These unrealized losses were attributable to changes in interest rates and geopolitical factors rather than credit deterioration. Higher Treasury yields reflected changing market expectations for Federal Reserve policy, influenced by persistent inflation concerns and geopolitical developments, including energy market disruptions related to the Middle East conflict. These factors increased required market yields, resulting in lower fair values for the Company's fixed-income investments as of June 30, 2026. The Company's investment portfolio consists primarily of investment-grade corporate debt securities, U.S. treasury securities and commercial paper. Management monitors the credit quality of the portfolio on an ongoing basis and evaluates changes in issuer credit ratings, financial condition and payment performance in assessing expected credit losses. The Company does not intend to sell securities, and it is not more likely than not that it will be required to sell them before recovery of amortized cost, so these losses were considered temporary. All marketable securities with unrealized losses as of each balance sheet date had been in a loss position for less than twelve months. The Company invests in high-quality short-term and long-term marketable securities, all of which have maturities under three years and no history of credit deterioration. No allowance for credit losses was recorded as of June 30, 2026 and December 31, 2025. </w:t>
      </w:r>
    </w:p>
    <w:p>
      <w:pPr>
        <w:pStyle w:val="TextBody"/>
        <w:bidi w:val="0"/>
        <w:jc w:val="both"/>
        <w:rPr/>
      </w:pPr>
      <w:r>
        <w:rPr/>
        <w:t> </w:t>
      </w:r>
    </w:p>
    <w:p>
      <w:pPr>
        <w:pStyle w:val="Heading2"/>
        <w:bidi w:val="0"/>
        <w:jc w:val="both"/>
        <w:rPr>
          <w:rFonts w:ascii="Times New Roman" w:hAnsi="Times New Roman"/>
          <w:color w:val="000000"/>
          <w:sz w:val="20"/>
        </w:rPr>
      </w:pPr>
      <w:bookmarkStart w:id="27" w:name="note_6_in_licensing_and_collab_agreement"/>
      <w:bookmarkEnd w:id="27"/>
      <w:r>
        <w:rPr>
          <w:rFonts w:ascii="Times New Roman" w:hAnsi="Times New Roman"/>
          <w:color w:val="000000"/>
          <w:sz w:val="20"/>
        </w:rPr>
        <w:t xml:space="preserve">5. In-Licensing and Collaboration Agreements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the Company enters into asset purchase and license agreements with third parties as a purchaser or licensee. These arrangements are generally accounted for as asset acquisitions, as the fair value of the consideration is concentrated in a single identifiable asset or group of similar identifiable assets. Given their stage of development, these assets typically have no alternative future use and are expensed as of the acquisition date.</w:t>
      </w:r>
    </w:p>
    <w:p>
      <w:pPr>
        <w:pStyle w:val="TextBody"/>
        <w:bidi w:val="0"/>
        <w:spacing w:before="200" w:after="283"/>
        <w:jc w:val="both"/>
        <w:rPr>
          <w:rFonts w:ascii="Times New Roman" w:hAnsi="Times New Roman"/>
          <w:sz w:val="20"/>
        </w:rPr>
      </w:pPr>
      <w:bookmarkStart w:id="28" w:name="the_regents_of_the_university_of_califo"/>
      <w:bookmarkEnd w:id="28"/>
      <w:r>
        <w:rPr>
          <w:rFonts w:ascii="Times New Roman" w:hAnsi="Times New Roman"/>
          <w:b/>
          <w:i/>
          <w:color w:val="000000"/>
          <w:sz w:val="20"/>
        </w:rPr>
        <w:t>The Regents of the University</w:t>
      </w:r>
      <w:r>
        <w:rPr>
          <w:rFonts w:ascii="Times New Roman" w:hAnsi="Times New Roman"/>
          <w:color w:val="000000"/>
          <w:sz w:val="20"/>
        </w:rPr>
        <w:t xml:space="preserve"> </w:t>
      </w:r>
      <w:r>
        <w:rPr>
          <w:rFonts w:ascii="Times New Roman" w:hAnsi="Times New Roman"/>
          <w:b/>
          <w:i/>
          <w:color w:val="000000"/>
          <w:sz w:val="20"/>
        </w:rPr>
        <w:t>of California License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2016, the Company entered into a license agreement with Regents of the University of California, San Francisco (“UCSF”) and was granted certain worldwide exclusive licenses to use the licensed compounds (the “UCSF License”). The UCSF License was subsequently amended and terminated in June 2021. However, certain terms survived the termination of the UCSF License. Upon a change of control or an initial public offering, Legacy BBOT was required to make a payment to UCSF (“Indexed Milestone Payment”). The Company believes that no such payment will be due now or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UCSF License, UCSF received a right but not an obligation to purchase up to 10% of securities in any offering on the same terms as other investors (“Participation Right”), which survived the termination of the UCSF License. Because UCSF was not notified of the Series B financing at the time it was completed in May 2024, the Participation Right was extended through March 29, 2025. As a result, UCSF received the right to purchase up to 2,509,446 shares of the Series B redeemable convertible preferred stock at the original issue price of $8.8554 per share. In March 2025, UCSF elected to exercise the Participation Right, which was settled in full in April 2025 (refer to Note 8) and was no longer outstanding as of December 31, 2025.</w:t>
      </w:r>
    </w:p>
    <w:p>
      <w:pPr>
        <w:pStyle w:val="TextBody"/>
        <w:bidi w:val="0"/>
        <w:spacing w:before="200" w:after="283"/>
        <w:jc w:val="both"/>
        <w:rPr>
          <w:rFonts w:ascii="Times New Roman" w:hAnsi="Times New Roman"/>
          <w:b/>
          <w:i/>
          <w:color w:val="000000"/>
          <w:sz w:val="20"/>
        </w:rPr>
      </w:pPr>
      <w:bookmarkStart w:id="29" w:name="leidos_biomedical_research_license"/>
      <w:bookmarkEnd w:id="29"/>
      <w:r>
        <w:rPr>
          <w:rFonts w:ascii="Times New Roman" w:hAnsi="Times New Roman"/>
          <w:b/>
          <w:i/>
          <w:color w:val="000000"/>
          <w:sz w:val="20"/>
        </w:rPr>
        <w:t>Leidos Biomedical Research License and Cooperative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March 2017, the Company entered into a cooperative research and development agreement (“Leidos CRADA”) with Leidos Biomedical Research, Inc. (“Leidos”). The Company and Leidos executed subsequent amendments to the Leidos CRADA between January 2018 and September 2025 to clarify the scope and provide for term extensions. In December 2018, the Company and Leidos entered into a license agreement (“Initial Leidos License”), under which the Company was granted certain worldwide exclusive licenses to use the licensed compounds for its drug discovery and development initiatives. The Initial Leidos License was terminated in 2021. The Company and Leidos subsequently entered into three additional license agreements (“Additional Leidos Licenses”), including two related to KRAS G12C inhibitor and PI3Kα breaker compounds that were executed in August 2022, and one related to the PanKRAS inhibitor executed in December 2023. The Leidos CRADA, Initial Leidos License, and Additional Leidos Licenses are referred to as the “Leidos Agreements”. In December 2025, the Company and Leidos executed an amendment to extend the expiration date of the Leidos CRADA by nine months to September 2026. In December 2025, the Company and Leidos amended the Leidos CRADA to introduce an additional $1.5 million in contribution funding payments.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Additional Leidos Licenses, the Company previously incurred initial upfront fees of $1.8 million. The Company is required to pay Leidos annual license maintenance fees of $0.5 million, as well as royalties on net sales for such licensed compounds calculated using low single-digit percentages of annual net sales of licensed products. The Company’s obligation to pay royalties continues on a country-by-country basis until the expiration of all licensed patent rights covering licensed products in such country. Leidos is also entitled to receive a low double-digit percentage of the sublicensing income received by the Company. As of June 30, 2026, the Company is obligated to make contingent milestone payments totaling up to $25.9 million upon the achievement of certain clinical and regulatory milestones.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and December 31, 2025, the Company recorded a $0.5 million liability for milestones that had been achieved but remained unpaid, which was included in accrued research and development liabilities in the consolidated balance sheet. During the three and six months ended June 30, 2026, no further milestones had been achieved under the Leidos CRADA. The Company recognized research and development expenses of $0.7 million and $1.3 million for the three months ended June 30, 2026 and 2025, respectively, and $1.4 million and $2.2 million, for the six months ended June 30, 2026 and 2025, respectively, in connection with the Leidos Agreements. </w:t>
      </w:r>
    </w:p>
    <w:p>
      <w:pPr>
        <w:pStyle w:val="TextBody"/>
        <w:bidi w:val="0"/>
        <w:spacing w:before="200" w:after="283"/>
        <w:jc w:val="both"/>
        <w:rPr>
          <w:rFonts w:ascii="Times New Roman" w:hAnsi="Times New Roman"/>
          <w:sz w:val="20"/>
        </w:rPr>
      </w:pPr>
      <w:bookmarkStart w:id="30" w:name="lawrence_livermore_national_sec_license"/>
      <w:bookmarkEnd w:id="30"/>
      <w:r>
        <w:rPr>
          <w:rFonts w:ascii="Times New Roman" w:hAnsi="Times New Roman"/>
          <w:b/>
          <w:i/>
          <w:color w:val="000000"/>
          <w:sz w:val="20"/>
        </w:rPr>
        <w:t>Lawrence Livermore National Security License</w:t>
      </w:r>
      <w:r>
        <w:rPr>
          <w:rFonts w:ascii="Times New Roman" w:hAnsi="Times New Roman"/>
          <w:color w:val="000000"/>
          <w:sz w:val="20"/>
        </w:rPr>
        <w:t xml:space="preserve"> </w:t>
      </w:r>
      <w:r>
        <w:rPr>
          <w:rFonts w:ascii="Times New Roman" w:hAnsi="Times New Roman"/>
          <w:b/>
          <w:i/>
          <w:color w:val="000000"/>
          <w:sz w:val="20"/>
        </w:rPr>
        <w:t>and Cooperative Research and Development Agreements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May 2018, the Company entered into a cooperative research and development agreement (“LLNS CRADA”) with Lawrence Livermore National Security, LLC (“LLNS”) to explore new knowledge therapeutics possibilities to KRAS drug discovery utilizing LLNS’s high-performance computing systems. The Company and LLNS executed subsequent amendments to the LLNS CRADA between December 2019 and November 2025 to clarify the scope and provide for term extensions. In July 2022, the Company entered into an exclusive patent license agreement for KRAS G12C inhibitors and an exclusive patent license agreement for PI3Kα breaker compounds. In December 2024, the Company entered into an exclusive license agreement with LLNS for research and development of a Pan KRAS inhibitor. These three agreements are collectively referred to as the LLNS Agreements. In July 2025, BBOT entered into an exclusive license agreement with LLNS for research and development of Pan KRAS inhibitor for non-oncology indications. In November 2025, the Company and LLNS executed three separate amendments to the existing agreements for Pan KRAS inhibitors, PI3Kα breakers, and KRAS G12C inhibitors. These amendments were made to include new patent applications within the scope of patent rights. In November 2025, the Company and LLNS executed an amendment to extend the LLNS CRADA expiration date by six months to June 2026. In January 2026, the Company and LLNS executed an amendment to extend the LLNS CRADA expiration date another twelve months until June 2027 and included additional estimated funding contributions of $5.0 million to be paid by the Company over the remaining term.</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Upon execution of the LLNS Agreements, the Company paid initial upfront cash fees of $0.2 million. In addition, under the terms of the LLNS Agreements, the Company is required to pay LLNS certain annual license maintenance fees of $0.1 million and royalties to LLNS on net sales for such licensed compounds. With respect to such royalty obligations, the Company agreed to pay LLNS low single-digit percentage tiered royalties on annual net sales of licensed products, with a minimum royalty requirement ranging between $0.1 million and $0.5 million, depending on the anniversary of the first commercial sale of the products. The Company’s obligation to pay royalties continues on a country-by-country basis until the expiration of all licensed patent rights covering licensed products in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country. LLNS is also entitled to receive half of the Company's sublicensing income, capped at $2.0 million per year for each indication. As of June 30, 2026, the Company is required to make contingent milestone payments totaling up to $21.8 million upon the achievement of certain clinical, regulatory, and sales milestones.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During the three and six months ended June 30, 2026, no milestones had been achieved and therefore no liabilities associated with the LLNS CRADA were recorded as of June 30, 2026 or December 31, 2025 on the condensed consolidated balance sheets. The Company recognized research and development expenses of $0.3 million for the six months ended June 30, 2025 in connection with the LLNS Agreements. No material research and development expenses were recognized in connection with this arrangement for the three and six months ended June 30, 2026 or the three months ended June 30, 2025.</w:t>
      </w:r>
    </w:p>
    <w:p>
      <w:pPr>
        <w:pStyle w:val="Heading2"/>
        <w:bidi w:val="0"/>
        <w:spacing w:before="40" w:after="283"/>
        <w:jc w:val="both"/>
        <w:rPr>
          <w:rFonts w:ascii="Times New Roman" w:hAnsi="Times New Roman"/>
          <w:color w:val="000000"/>
          <w:sz w:val="20"/>
        </w:rPr>
      </w:pPr>
      <w:bookmarkStart w:id="31" w:name="note_7_out_licensing_and_collab_agree"/>
      <w:bookmarkEnd w:id="31"/>
      <w:r>
        <w:rPr>
          <w:rFonts w:ascii="Times New Roman" w:hAnsi="Times New Roman"/>
          <w:color w:val="000000"/>
          <w:sz w:val="20"/>
        </w:rPr>
        <w:t>6. Income from Transition Services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2025, we entered into a transition services agreement (“TSA”) with an unrelated party (“TSA Party”) to provide certain services unrelated to our principal operations, which represent the only performance obligation under this arrangement. For the three and six months ended June 30, 2026, the Company recorded $0.2 million and $0.4 million, respectively, in connection with the TSA, which is presented separately as other income from transition services agreements in the condensed consolidated statements of operations. The Company did not record any TSA income for the three and six months ended June 30, 2025. </w:t>
      </w:r>
    </w:p>
    <w:p>
      <w:pPr>
        <w:pStyle w:val="Heading2"/>
        <w:bidi w:val="0"/>
        <w:spacing w:before="200" w:after="283"/>
        <w:jc w:val="both"/>
        <w:rPr>
          <w:rFonts w:ascii="Times New Roman" w:hAnsi="Times New Roman"/>
          <w:color w:val="000000"/>
          <w:sz w:val="20"/>
        </w:rPr>
      </w:pPr>
      <w:bookmarkStart w:id="32" w:name="note_8_commitments_and_contingencies"/>
      <w:bookmarkEnd w:id="32"/>
      <w:r>
        <w:rPr>
          <w:rFonts w:ascii="Times New Roman" w:hAnsi="Times New Roman"/>
          <w:color w:val="000000"/>
          <w:sz w:val="20"/>
        </w:rPr>
        <w:t>7. Commitments and Contingencies</w:t>
      </w:r>
    </w:p>
    <w:p>
      <w:pPr>
        <w:pStyle w:val="TextBody"/>
        <w:bidi w:val="0"/>
        <w:spacing w:before="200" w:after="283"/>
        <w:jc w:val="both"/>
        <w:rPr>
          <w:rFonts w:ascii="Times New Roman" w:hAnsi="Times New Roman"/>
          <w:b/>
          <w:i/>
          <w:color w:val="000000"/>
          <w:sz w:val="20"/>
        </w:rPr>
      </w:pPr>
      <w:bookmarkStart w:id="33" w:name="other_research_and_development_agreement"/>
      <w:bookmarkEnd w:id="33"/>
      <w:r>
        <w:rPr>
          <w:rFonts w:ascii="Times New Roman" w:hAnsi="Times New Roman"/>
          <w:b/>
          <w:i/>
          <w:color w:val="000000"/>
          <w:sz w:val="20"/>
        </w:rPr>
        <w:t>Other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enter into contracts in the normal course of business with contract research organizations for clinical trials, contract manufacturing organizations for clinical supplies, and other vendors for preclinical studies, supplies, and other services and products for operating purposes. These contracts generally provide for termination on notice with potential termination charges.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Bonus with Performance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2024, the Company committed to making a $3.0 million cash payment to an executive contingent upon the consummation of an equity financing, a change in control transaction, an initial public offering, or a reverse merger with a SPAC. The Company recorded a $3.0 million performance cash bonus payment to the executive upon closing of the de-SPAC Transaction, which was paid during the three months ended September 30, 2025. There have been no other cash bonuses with performance conditions recorded or paid during the three and six months ended June 30, 2026.</w:t>
      </w:r>
    </w:p>
    <w:p>
      <w:pPr>
        <w:pStyle w:val="TextBody"/>
        <w:bidi w:val="0"/>
        <w:spacing w:before="200" w:after="283"/>
        <w:jc w:val="both"/>
        <w:rPr>
          <w:rFonts w:ascii="Times New Roman" w:hAnsi="Times New Roman"/>
          <w:b/>
          <w:i/>
          <w:color w:val="000000"/>
          <w:sz w:val="20"/>
        </w:rPr>
      </w:pPr>
      <w:bookmarkStart w:id="34" w:name="indemnification"/>
      <w:bookmarkEnd w:id="34"/>
      <w:r>
        <w:rPr>
          <w:rFonts w:ascii="Times New Roman" w:hAnsi="Times New Roman"/>
          <w:b/>
          <w:i/>
          <w:color w:val="000000"/>
          <w:sz w:val="20"/>
        </w:rPr>
        <w:t>Indemnification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ordinary course of business, we may provide indemnifications of varying scope and terms to vendors, lessors, business partners, Board members, officers, and other parties with respect to certain matters, including, but not limited to, losses arising out of breach of such agreements, services to be provided by us, our negligence or willful misconduct, violations of law, or intellectual property infringement claims made by third parties. No material demands have been made upon us to provide indemnification under such agreements, and thus, there are no claims that we are aware of that could have a material effect on our condensed consolidated financial statements.</w:t>
      </w:r>
    </w:p>
    <w:p>
      <w:pPr>
        <w:pStyle w:val="TextBody"/>
        <w:bidi w:val="0"/>
        <w:spacing w:before="200" w:after="283"/>
        <w:jc w:val="both"/>
        <w:rPr>
          <w:rFonts w:ascii="Times New Roman" w:hAnsi="Times New Roman"/>
          <w:b/>
          <w:i/>
          <w:color w:val="000000"/>
          <w:sz w:val="20"/>
        </w:rPr>
      </w:pPr>
      <w:bookmarkStart w:id="35" w:name="contingencies"/>
      <w:bookmarkEnd w:id="35"/>
      <w:r>
        <w:rPr>
          <w:rFonts w:ascii="Times New Roman" w:hAnsi="Times New Roman"/>
          <w:b/>
          <w:i/>
          <w:color w:val="000000"/>
          <w:sz w:val="20"/>
        </w:rPr>
        <w:t>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is not currently involved in any legal actions that could have a material effect on the Company’s financial position, results of operations, or liquidity.</w:t>
      </w:r>
    </w:p>
    <w:p>
      <w:pPr>
        <w:pStyle w:val="Heading2"/>
        <w:bidi w:val="0"/>
        <w:spacing w:before="200" w:after="283"/>
        <w:jc w:val="both"/>
        <w:rPr>
          <w:rFonts w:ascii="Times New Roman" w:hAnsi="Times New Roman"/>
          <w:color w:val="000000"/>
          <w:sz w:val="20"/>
        </w:rPr>
      </w:pPr>
      <w:bookmarkStart w:id="36" w:name="note_9_redeem_convertible_preferred_stoc"/>
      <w:bookmarkEnd w:id="36"/>
      <w:r>
        <w:rPr>
          <w:rFonts w:ascii="Times New Roman" w:hAnsi="Times New Roman"/>
          <w:color w:val="000000"/>
          <w:sz w:val="20"/>
        </w:rPr>
        <w:t>8. Redeemable Convertible Preferred Stock and Stockholders’ Equity (Deficit)</w:t>
      </w:r>
    </w:p>
    <w:p>
      <w:pPr>
        <w:pStyle w:val="TextBody"/>
        <w:bidi w:val="0"/>
        <w:spacing w:before="200" w:after="283"/>
        <w:jc w:val="both"/>
        <w:rPr>
          <w:rFonts w:ascii="Times New Roman" w:hAnsi="Times New Roman"/>
          <w:b/>
          <w:i/>
          <w:color w:val="000000"/>
          <w:sz w:val="20"/>
        </w:rPr>
      </w:pPr>
      <w:bookmarkStart w:id="37" w:name="redeemable_convertible_preferred_stock"/>
      <w:bookmarkEnd w:id="37"/>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February 2025, one investor elected to voluntarily convert 21,783 shares of the Series B redeemable convertible preferred stock into common stock. In March 2025, UCSF elected to exercise the Participation Right, and the Company settled the Participation Right in full in April 2025 through the issuance of 2,509,446 Series B shares for cash proceeds of $22.2 million, and the amount credited to redeemable convertible preferred stock included the settlement date fair value of the participation right liability of $3.8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2025, the Company’s outstanding redeemable convertible preferred stock was converted into common stock, immediately before the Closing of the de-SPAC Transaction discussed in Note 3, and therefore there were no redeemable convertible preferred stock shares authorized or outstanding as of June 30, 2026 or December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the August 2025 conversion, the holders of the redeemable convertible preferred stock were entitled to different rights, preferences, privileges, and restrictions regarding voting, dividends, liquidation, conversion, and redemption.</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Voting Rights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Each share of the redeemable convertible preferred stock had voting rights equal to the number of shares of common stock into which it was convertible. The holders of redeemable convertible preferred stock voted together with the holders of common stock as a single class.</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holders of the redeemable convertible preferred stock were entitled to receive noncumulative dividends at an annual rate of 8.0% of the original issuance price per share of the respective series when declared by the Company’s Board prior and in preference to any dividends on common stock. The holders of the redeemable convertible preferred stock had priority and were entitled to participate in any distributions to the holders of common stock on an as-converted basis. No dividends have been declared or paid by the Company since its inception and through June 30, 2026.</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Redemption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Shares of the redeemable convertible preferred stock were contingently redeemable upon the occurrence of certain change in control events that were outside the Company’s control, including a sale, lease, transfer, or other disposition of all or substantially all of the Company’s assets, merger with a special purpose acquisition company or with a public company (“Deemed Liquidation Event”). The following stockholders group were each required to vote to initiate or waive such redemption: (i) the holders of a majority of the then outstanding shares of the redeemable convertible preferred stock, voting together as a single class on an as-converted into common stock basis (“Requisite Holders”), and (ii) the holders of a majority of the then outstanding shares of the Series B, voting as a separate class (“Requisite Series B Holders”). Subsequent adjustments to the carrying values of the liquidation preferences were only required to be made if it became probable that such a liquidation event would occur. No subsequent measurement adjustments were recorded through August 2025.</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Liquidation Preference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the event of any liquidation, dissolution, or winding up of the Company, either voluntary or involuntary, and upon a Deemed Liquidation Event, the holders of the redeemable convertible preferred stock were entitled to receive, with equal priority among them, prior and in preference to any distribution of any of the Company’s assets to the holders of common stock, an amount equal to the greater of (a) the original issue price per share of redeemable convertible preferred stock of the respective series then outstanding, plus any declared or accrued but unpaid dividends, or (b) an amount payable on an as-converted into common stock basis. After payment of the preferential amounts to the holders of the redeemable convertible preferred stock, the remaining assets of the Company available for distribution were to be distributed among the holders of common stock in proportion to the number of shares then held.</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Conversion Rights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At the option of the holder, each share of the redeemable convertible preferred stock was convertible at any time into such number of shares of common stock as determined by dividing the original issue price per share of the respective series by the applicable conversion price. The initial conversion price per share was equal to the original issue price per share of the respective series. The conversion price of the redeemable convertible preferred stock was subject to adjustments for recapitalizations and under anti-dilution provisions contained in the Company’s amended and restated certificate of incorporation.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outstanding shares of the redeemable convertible preferred stock were subject to automatic conversion into shares of common stock, at the applicable conversion price, upon either of the following: (a) the closing of the sale of shares of common stock at a price per share of at least $17.7109, as adjusted to reflect the Consideration Ratio, in a firm-commitment underwritten public offering under the Securities Act of 1933, as amended, resulting in at least $100.0 million of proceeds to the Company, net of the underwriting discount and commissions, and on a qualified stock exchange, or (b) the date and time, or the occurrence of an event, specified by the Requisite Holders and the Requisite Series B Holders, voting or consenting as two separate groups.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Amendment to Certificate of Incorporation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April 2025, the Company amended and restated its certificate of incorporation to increase the authorized redeemable convertible preferred stock from 36,386,702 to 38,896,148 shares and the authorized common stock from 41,341,250 to 44,008,427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in connection with the de-SPAC Transaction, the Company filed a new certificate of incorporation that authorized the issuance of up to 510,000,000 shares with a par value of $0.0001 per share, including 500,000,000 shares of common stock, and 10,000,000 shares of undesignated preferred stock.</w:t>
      </w:r>
    </w:p>
    <w:p>
      <w:pPr>
        <w:pStyle w:val="TextBody"/>
        <w:bidi w:val="0"/>
        <w:spacing w:before="200" w:after="283"/>
        <w:jc w:val="both"/>
        <w:rPr>
          <w:rFonts w:ascii="Times New Roman" w:hAnsi="Times New Roman"/>
          <w:i/>
          <w:color w:val="000000"/>
          <w:sz w:val="20"/>
        </w:rPr>
      </w:pPr>
      <w:bookmarkStart w:id="38" w:name="shares_reserved_for_issuance"/>
      <w:bookmarkEnd w:id="38"/>
      <w:r>
        <w:rPr>
          <w:rFonts w:ascii="Times New Roman" w:hAnsi="Times New Roman"/>
          <w:i/>
          <w:color w:val="000000"/>
          <w:sz w:val="20"/>
        </w:rPr>
        <w:t>Shares Reserved for Issuance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had the following shares reserved for issuance:</w:t>
      </w:r>
    </w:p>
    <w:p>
      <w:pPr>
        <w:pStyle w:val="TextBody"/>
        <w:bidi w:val="0"/>
        <w:jc w:val="both"/>
        <w:rPr/>
      </w:pPr>
      <w:r>
        <w:rPr/>
        <w:t> </w:t>
      </w:r>
    </w:p>
    <w:tbl>
      <w:tblPr>
        <w:tblW w:w="8952" w:type="dxa"/>
        <w:jc w:val="left"/>
        <w:tblInd w:w="0" w:type="dxa"/>
        <w:tblLayout w:type="fixed"/>
        <w:tblCellMar>
          <w:top w:w="28" w:type="dxa"/>
          <w:left w:w="28" w:type="dxa"/>
          <w:bottom w:w="28" w:type="dxa"/>
          <w:right w:w="28" w:type="dxa"/>
        </w:tblCellMar>
      </w:tblPr>
      <w:tblGrid>
        <w:gridCol w:w="5881"/>
        <w:gridCol w:w="146"/>
        <w:gridCol w:w="146"/>
        <w:gridCol w:w="1036"/>
        <w:gridCol w:w="146"/>
        <w:gridCol w:w="146"/>
        <w:gridCol w:w="155"/>
        <w:gridCol w:w="1105"/>
        <w:gridCol w:w="19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9,035,498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("RSU"s) unvested and 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 under the stock option and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 under the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1,046,940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16,389,124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11,437,462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2"/>
        <w:bidi w:val="0"/>
        <w:jc w:val="both"/>
        <w:rPr>
          <w:rFonts w:ascii="Times New Roman" w:hAnsi="Times New Roman"/>
          <w:color w:val="000000"/>
          <w:sz w:val="20"/>
        </w:rPr>
      </w:pPr>
      <w:bookmarkStart w:id="39" w:name="note_10_leases"/>
      <w:bookmarkEnd w:id="39"/>
      <w:r>
        <w:rPr>
          <w:rFonts w:ascii="Times New Roman" w:hAnsi="Times New Roman"/>
          <w:color w:val="000000"/>
          <w:sz w:val="20"/>
        </w:rPr>
        <w:t>9. 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November 2024, the Company entered into an operating lease for approximately 10,934 square feet of office space in South San Francisco, California for 61 months. The Company has the option to renew for an additional four-year term. The renewal option was not reasonably certain to be exercised by the Company and was excluded from the lease term. The lease commenced in March 2025 and will expire in April 2030. The associated lease costs were not material during the three and six months ended June 30, 2026 and 2025, respectively. As of June 30, 2026, the weighted average remaining lease term for the Company’s lease was 3.8 years, and the discount rate used was 7.40%.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amortization of the Company’s lease liabilities recorded in the condensed consolidated balance sheet as of June 30, 2026 (in thousands):</w:t>
      </w:r>
    </w:p>
    <w:p>
      <w:pPr>
        <w:pStyle w:val="TextBody"/>
        <w:bidi w:val="0"/>
        <w:jc w:val="both"/>
        <w:rPr/>
      </w:pPr>
      <w:r>
        <w:rPr/>
        <w:t> </w:t>
      </w:r>
    </w:p>
    <w:tbl>
      <w:tblPr>
        <w:tblW w:w="3840" w:type="dxa"/>
        <w:jc w:val="left"/>
        <w:tblInd w:w="0" w:type="dxa"/>
        <w:tblLayout w:type="fixed"/>
        <w:tblCellMar>
          <w:top w:w="28" w:type="dxa"/>
          <w:left w:w="28" w:type="dxa"/>
          <w:bottom w:w="28" w:type="dxa"/>
          <w:right w:w="28" w:type="dxa"/>
        </w:tblCellMar>
      </w:tblPr>
      <w:tblGrid>
        <w:gridCol w:w="2701"/>
        <w:gridCol w:w="146"/>
        <w:gridCol w:w="211"/>
        <w:gridCol w:w="571"/>
        <w:gridCol w:w="2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ended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 (six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Short-term lease costs were $0.2 million for the three months ended June 30, 2026 and 2025, respectively, and $0.4 million and $0.7 million for the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200" w:after="283"/>
        <w:jc w:val="both"/>
        <w:rPr>
          <w:rFonts w:ascii="Times New Roman" w:hAnsi="Times New Roman"/>
          <w:color w:val="000000"/>
          <w:sz w:val="20"/>
        </w:rPr>
      </w:pPr>
      <w:bookmarkStart w:id="40" w:name="note_11_stock_based_compensation"/>
      <w:bookmarkEnd w:id="40"/>
      <w:r>
        <w:rPr>
          <w:rFonts w:ascii="Times New Roman" w:hAnsi="Times New Roman"/>
          <w:color w:val="000000"/>
          <w:sz w:val="20"/>
        </w:rPr>
        <w:t>10.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Stock-based compensation is included under the following expense categories presented in the condensed consolidated statements of operations (in thousands):</w:t>
      </w:r>
    </w:p>
    <w:p>
      <w:pPr>
        <w:pStyle w:val="TextBody"/>
        <w:bidi w:val="0"/>
        <w:jc w:val="both"/>
        <w:rPr/>
      </w:pPr>
      <w:r>
        <w:rPr/>
        <w:t> </w:t>
      </w:r>
    </w:p>
    <w:tbl>
      <w:tblPr>
        <w:tblW w:w="7998" w:type="dxa"/>
        <w:jc w:val="left"/>
        <w:tblInd w:w="0" w:type="dxa"/>
        <w:tblLayout w:type="fixed"/>
        <w:tblCellMar>
          <w:top w:w="28" w:type="dxa"/>
          <w:left w:w="28" w:type="dxa"/>
          <w:bottom w:w="28" w:type="dxa"/>
          <w:right w:w="28" w:type="dxa"/>
        </w:tblCellMar>
      </w:tblPr>
      <w:tblGrid>
        <w:gridCol w:w="2311"/>
        <w:gridCol w:w="324"/>
        <w:gridCol w:w="878"/>
        <w:gridCol w:w="224"/>
        <w:gridCol w:w="224"/>
        <w:gridCol w:w="324"/>
        <w:gridCol w:w="648"/>
        <w:gridCol w:w="146"/>
        <w:gridCol w:w="146"/>
        <w:gridCol w:w="256"/>
        <w:gridCol w:w="822"/>
        <w:gridCol w:w="177"/>
        <w:gridCol w:w="177"/>
        <w:gridCol w:w="256"/>
        <w:gridCol w:w="694"/>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Common Stock Options Issued and Other Equity-Based Awards Issued by the Company</w:t>
      </w:r>
    </w:p>
    <w:p>
      <w:pPr>
        <w:pStyle w:val="TextBody"/>
        <w:bidi w:val="0"/>
        <w:spacing w:before="200" w:after="283"/>
        <w:jc w:val="both"/>
        <w:rPr>
          <w:rFonts w:ascii="Times New Roman" w:hAnsi="Times New Roman"/>
          <w:i/>
          <w:color w:val="000000"/>
          <w:sz w:val="20"/>
        </w:rPr>
      </w:pPr>
      <w:bookmarkStart w:id="41" w:name="equity_incentive_plan_2016"/>
      <w:bookmarkEnd w:id="41"/>
      <w:r>
        <w:rPr>
          <w:rFonts w:ascii="Times New Roman" w:hAnsi="Times New Roman"/>
          <w:i/>
          <w:color w:val="000000"/>
          <w:sz w:val="20"/>
        </w:rPr>
        <w:t>2016 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2017, the Company adopted the 2016 Equity Incentive Plan (“2016 Plan”). The 2016 Plan provides for the grant of stock-based incentive awards, including common stock options and other forms of stock-based compensation. Any cancelled or forfeited awards under the 2016 Plan become available for future issuances. As of June 30, 2026, no shares were reserved for future issuance under the 2016 Plan.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2025 Stock Option and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adopted the 2025 Stock Option and Incentive Plan (“2025 Plan”). The 2025 Plan provides for the grant of equity and equity-based incentive awards, such as stock options and other forms of stock-based compensation, to officers, employees, directors, and consultants. Any cancelled or forfeited awards under the 2025 Plan become available for future issuances. As of June 30, 2026, there were 748,841 shares available for future grants under the 2025 Plan.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2025 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adopted the 2025 Employee Stock Purchase Plan (“ESPP”). Under the ESPP, eligible employees may purchase shares of BBOT’s common stock through payroll deductions at a price equal to 85% of the fair market value of the common stock on the offering date or the exercise date, whichever is less. As of June 30, 2026, there were 1,808,313 shares available for future grants under the ESPP.</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2025 Inducement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2025, the Company adopted the 2025 Inducement Plan (“2025 Inducement Plan”) to be used for grants of equity-based awards to individuals who were not previously its employees or directors as an inducement for entry into employment. Any cancelled or forfeited awards under the 2025 Inducement Plan become available for future issuances. As of June 30, 2026, there were 948,915 shares available for future grants under the 2025 Inducement Plan.</w:t>
      </w:r>
    </w:p>
    <w:p>
      <w:pPr>
        <w:pStyle w:val="TextBody"/>
        <w:bidi w:val="0"/>
        <w:spacing w:before="200" w:after="283"/>
        <w:jc w:val="both"/>
        <w:rPr>
          <w:rFonts w:ascii="Times New Roman" w:hAnsi="Times New Roman"/>
          <w:i/>
          <w:color w:val="000000"/>
          <w:sz w:val="20"/>
        </w:rPr>
      </w:pPr>
      <w:bookmarkStart w:id="42" w:name="outstanding_common_stock_options"/>
      <w:bookmarkEnd w:id="42"/>
      <w:r>
        <w:rPr>
          <w:rFonts w:ascii="Times New Roman" w:hAnsi="Times New Roman"/>
          <w:i/>
          <w:color w:val="000000"/>
          <w:sz w:val="20"/>
        </w:rPr>
        <w:t>Outstanding Common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had the following common stock options outstanding: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27"/>
        <w:gridCol w:w="146"/>
        <w:gridCol w:w="146"/>
        <w:gridCol w:w="1036"/>
        <w:gridCol w:w="166"/>
        <w:gridCol w:w="146"/>
        <w:gridCol w:w="532"/>
        <w:gridCol w:w="1178"/>
        <w:gridCol w:w="146"/>
        <w:gridCol w:w="146"/>
        <w:gridCol w:w="689"/>
        <w:gridCol w:w="1707"/>
        <w:gridCol w:w="146"/>
        <w:gridCol w:w="146"/>
        <w:gridCol w:w="345"/>
        <w:gridCol w:w="1109"/>
        <w:gridCol w:w="394"/>
      </w:tblGrid>
      <w:tr>
        <w:trPr/>
        <w:tc>
          <w:tcPr>
            <w:tcW w:w="2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Weighted-Average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Remaining Contractual</w:t>
              <w:br/>
              <w:t xml:space="preserve">Term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Aggregate Intrinsic Value </w:t>
              <w:b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intrinsic value in the above table is calculated as the difference between the estimated fair value of the Company’s common stock and the exercise price of the underlying stock options as of each reporting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 total of 1,730,153 common stock options included provisions for accelerated vesting in connection with a qualified change in control of the Company. These instruments included 1,507,214 options, with vesting if the grantee is terminated without cause, as defined in the 2016 Plan, or for good reason, as defined in the grant terms, within 12 months following such a transaction. The remaining 222,939 options vest immediately upon the occurrence of a qualified change in control, excluding events such as an initial public offering or other bona fide financing transactions. The closing of the de-SPAC Transaction described in Note 1 did not constitute a qualified change in control event under these definitions.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weighted-average grant-date fair value of common stock options granted during the six months ended June 30, 2026 was $6.52 per share. The weighted-average grant-date fair value of common stock options vested and forfeited during the six months ended June 30, 2026 was $4.48 and $6.51 per share, respectively. As of June 30, 2026, there was $55.5 million of unrecognized stock-based compensation related to unvested common stock options, which is expected to be recognized over a weighted-average period of 3.5 years.</w:t>
      </w:r>
    </w:p>
    <w:p>
      <w:pPr>
        <w:pStyle w:val="TextBody"/>
        <w:bidi w:val="0"/>
        <w:spacing w:before="200" w:after="280"/>
        <w:jc w:val="both"/>
        <w:rPr>
          <w:rFonts w:ascii="Times New Roman" w:hAnsi="Times New Roman"/>
          <w:color w:val="000000"/>
          <w:sz w:val="20"/>
        </w:rPr>
      </w:pPr>
      <w:r>
        <w:rPr>
          <w:rFonts w:ascii="Times New Roman" w:hAnsi="Times New Roman"/>
          <w:color w:val="000000"/>
          <w:sz w:val="20"/>
        </w:rPr>
        <w:t>The fair value of stock options granted during the six months ended June 30, 2026 and 2025 were estimated at the grant date using the Black-Scholes option pricing model based on the following assumptions:</w:t>
      </w:r>
    </w:p>
    <w:tbl>
      <w:tblPr>
        <w:tblW w:w="4859" w:type="dxa"/>
        <w:jc w:val="left"/>
        <w:tblInd w:w="0" w:type="dxa"/>
        <w:tblLayout w:type="fixed"/>
        <w:tblCellMar>
          <w:top w:w="28" w:type="dxa"/>
          <w:left w:w="28" w:type="dxa"/>
          <w:bottom w:w="28" w:type="dxa"/>
          <w:right w:w="28" w:type="dxa"/>
        </w:tblCellMar>
      </w:tblPr>
      <w:tblGrid>
        <w:gridCol w:w="1846"/>
        <w:gridCol w:w="1516"/>
        <w:gridCol w:w="146"/>
        <w:gridCol w:w="1351"/>
      </w:tblGrid>
      <w:tr>
        <w:trPr/>
        <w:tc>
          <w:tcPr>
            <w:tcW w:w="18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5.66 - 6.08</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70.29% - 74.03%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71.3% - 71.9%</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Extension of Exercise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April 2026, the Company extended the post-termination exercise period of certain vested stock option awards held by former executives. The Company accounted for the extension as a modification of existing awards under ASC Topic 718 and determined the incremental fair value associated with the modification using a Black Scholes option pricing model as of the modification date. The Company recognized incremental stock-based compensation expense of $2.0 million during the three months ended June 30, 2026.</w:t>
      </w:r>
    </w:p>
    <w:p>
      <w:pPr>
        <w:pStyle w:val="TextBody"/>
        <w:bidi w:val="0"/>
        <w:spacing w:before="200" w:after="283"/>
        <w:jc w:val="both"/>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Activity under the 2025 Plan with respect to the Company’s RSUs during the six months ended June 30, 2026 was as follows:</w:t>
      </w:r>
    </w:p>
    <w:p>
      <w:pPr>
        <w:pStyle w:val="TextBody"/>
        <w:bidi w:val="0"/>
        <w:jc w:val="both"/>
        <w:rPr/>
      </w:pPr>
      <w:r>
        <w:rPr/>
        <w:t> </w:t>
      </w:r>
    </w:p>
    <w:tbl>
      <w:tblPr>
        <w:tblW w:w="8085" w:type="dxa"/>
        <w:jc w:val="left"/>
        <w:tblInd w:w="0" w:type="dxa"/>
        <w:tblLayout w:type="fixed"/>
        <w:tblCellMar>
          <w:top w:w="28" w:type="dxa"/>
          <w:left w:w="28" w:type="dxa"/>
          <w:bottom w:w="28" w:type="dxa"/>
          <w:right w:w="28" w:type="dxa"/>
        </w:tblCellMar>
      </w:tblPr>
      <w:tblGrid>
        <w:gridCol w:w="4176"/>
        <w:gridCol w:w="146"/>
        <w:gridCol w:w="165"/>
        <w:gridCol w:w="885"/>
        <w:gridCol w:w="166"/>
        <w:gridCol w:w="146"/>
        <w:gridCol w:w="541"/>
        <w:gridCol w:w="1469"/>
        <w:gridCol w:w="391"/>
      </w:tblGrid>
      <w:tr>
        <w:trPr/>
        <w:tc>
          <w:tcPr>
            <w:tcW w:w="4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Weighted-Average </w:t>
              <w:br/>
              <w:t>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there was $2.7 million of total unrecognized compensation cost related to RSUs that is expected to be recognized over a weighted average period of 3.5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200" w:after="283"/>
        <w:jc w:val="both"/>
        <w:rPr>
          <w:rFonts w:ascii="Times New Roman" w:hAnsi="Times New Roman"/>
          <w:color w:val="000000"/>
          <w:sz w:val="20"/>
        </w:rPr>
      </w:pPr>
      <w:bookmarkStart w:id="43" w:name="note_13_net_loss_per_share_attributable"/>
      <w:bookmarkEnd w:id="43"/>
      <w:r>
        <w:rPr>
          <w:rFonts w:ascii="Times New Roman" w:hAnsi="Times New Roman"/>
          <w:color w:val="000000"/>
          <w:sz w:val="20"/>
        </w:rPr>
        <w:t>11. Net Loss Per Share Attributable to Common Stockholders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common stock equivalents were excluded from the computation of diluted net loss per share as their impact would have been anti-dilutive:</w:t>
      </w:r>
    </w:p>
    <w:p>
      <w:pPr>
        <w:pStyle w:val="TextBody"/>
        <w:bidi w:val="0"/>
        <w:jc w:val="both"/>
        <w:rPr/>
      </w:pPr>
      <w:r>
        <w:rPr/>
        <w:t> </w:t>
      </w:r>
    </w:p>
    <w:tbl>
      <w:tblPr>
        <w:tblW w:w="9969" w:type="dxa"/>
        <w:jc w:val="left"/>
        <w:tblInd w:w="0" w:type="dxa"/>
        <w:tblLayout w:type="fixed"/>
        <w:tblCellMar>
          <w:top w:w="28" w:type="dxa"/>
          <w:left w:w="28" w:type="dxa"/>
          <w:bottom w:w="28" w:type="dxa"/>
          <w:right w:w="28" w:type="dxa"/>
        </w:tblCellMar>
      </w:tblPr>
      <w:tblGrid>
        <w:gridCol w:w="6976"/>
        <w:gridCol w:w="146"/>
        <w:gridCol w:w="146"/>
        <w:gridCol w:w="1036"/>
        <w:gridCol w:w="146"/>
        <w:gridCol w:w="146"/>
        <w:gridCol w:w="146"/>
        <w:gridCol w:w="1036"/>
        <w:gridCol w:w="191"/>
      </w:tblGrid>
      <w:tr>
        <w:trPr/>
        <w:tc>
          <w:tcPr>
            <w:tcW w:w="6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4,094,802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 on an as-converted into common stock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38,874,375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12,883,055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42,969,177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2"/>
        <w:bidi w:val="0"/>
        <w:jc w:val="both"/>
        <w:rPr>
          <w:rFonts w:ascii="Times New Roman" w:hAnsi="Times New Roman"/>
          <w:color w:val="000000"/>
          <w:sz w:val="20"/>
        </w:rPr>
      </w:pPr>
      <w:bookmarkStart w:id="44" w:name="note_14_related_party_transactions"/>
      <w:bookmarkEnd w:id="44"/>
      <w:r>
        <w:rPr>
          <w:rFonts w:ascii="Times New Roman" w:hAnsi="Times New Roman"/>
          <w:color w:val="000000"/>
          <w:sz w:val="20"/>
        </w:rPr>
        <w:t>12. Related Party Transactions</w:t>
      </w:r>
    </w:p>
    <w:p>
      <w:pPr>
        <w:pStyle w:val="TextBody"/>
        <w:bidi w:val="0"/>
        <w:spacing w:before="200" w:after="283"/>
        <w:jc w:val="both"/>
        <w:rPr>
          <w:rFonts w:ascii="Times New Roman" w:hAnsi="Times New Roman"/>
          <w:b/>
          <w:i/>
          <w:color w:val="000000"/>
          <w:sz w:val="20"/>
        </w:rPr>
      </w:pPr>
      <w:bookmarkStart w:id="45" w:name="redeemable_convertible_preferred_note_14"/>
      <w:bookmarkEnd w:id="45"/>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shares of the Series Seed redeemable convertible preferred stock and Series A redeemable convertible preferred stock of Legacy BBOT were issued to BridgeBio Pharma and became common stock of the Company upon the Closing of the de-SPAC Transaction.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Issued to BridgeBio Pharma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executed an amendment to the transition services agreement with BridgeBio Pharma (“TSA Amendment”). Under the TSA Amendment, BBOT agreed to issue 784,720 shares of the Company’s common stock to BridgeBio Pharma by October 31, 2025 (“TSA Shares”) as a one-time charge related to the Closing of the de-SPAC Transaction. The promise to issue the TSA Shares represented a nonreciprocal transfer since the Company did not receive a commensurate value in exchange for the TSA Shares and was treated as a non-pro-rata distribution to a related party. During the year ended December 31, 2025, the Company recorded $7.8 million, included in general and administrative expenses in the consolidated statements of operations using the closing price of its common stock as of the TSA Amendment date. The promise to issue the TSA Shares was concluded to be equity-classified, and the corresponding credit was recorded to additional paid-in capital. The TSA Shares were issued and became outstanding in October 2025. Under the TSA Amendment, the issuance of the TSA Shares was not contingent on any condition other than the passage of time, and these shares are treated as outstanding for basic and diluted net loss per share calculation purposes from the TSA Amendment date.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Collaborative Arrangement with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2025, the Company executed a research and collaboration agreement (“RCA”) with a related party (“RCA Party”) to grant a license over its intellectual property with respect to the new indication being developed by the RCA Party (“RCA License”) and perform certain research and development activities (“RCA Service”) intended to achieve an acceptance of an investigational new drug application that will be owned and further developed by the RCA Party. During the three and six months ended June 30, 2026, the Company recognized $0.5 million and $0.7 million, respectively, in connection with the RCA, which is included as a reduction to research and development expenses in the condensed consolidated statement of operations.</w:t>
      </w:r>
    </w:p>
    <w:p>
      <w:pPr>
        <w:pStyle w:val="TextBody"/>
        <w:bidi w:val="0"/>
        <w:spacing w:before="200" w:after="283"/>
        <w:jc w:val="both"/>
        <w:rPr>
          <w:rFonts w:ascii="Times New Roman" w:hAnsi="Times New Roman"/>
          <w:b/>
          <w:i/>
          <w:color w:val="000000"/>
          <w:sz w:val="20"/>
        </w:rPr>
      </w:pPr>
      <w:bookmarkStart w:id="46" w:name="related_party_income_and_expenses"/>
      <w:bookmarkEnd w:id="46"/>
      <w:r>
        <w:rPr>
          <w:rFonts w:ascii="Times New Roman" w:hAnsi="Times New Roman"/>
          <w:b/>
          <w:i/>
          <w:color w:val="000000"/>
          <w:sz w:val="20"/>
        </w:rPr>
        <w:t>Related Party Income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$0.2 million and $0.4 million, respectively, in research and development expenses, and nil and $0.1 million in general and administrative expenses for the three and six months ended June 30, 2026 for services provided by BridgeBio Pharma under the transition services agreement and related amendments.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and six months ended June 30, 2025, the Company recognized $0.2 million and $0.4 million, respectively, in research and development expenses, and $0.2 million and $0.4 million, respectively, in general and administrative expenses for the services provided by BridgeBio Pharma under the transition services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related party income from transition services agreements was recognized during the three and six months ended June 30, 2026 or 2025.</w:t>
      </w:r>
    </w:p>
    <w:p>
      <w:pPr>
        <w:pStyle w:val="Heading2"/>
        <w:bidi w:val="0"/>
        <w:jc w:val="both"/>
        <w:rPr/>
      </w:pPr>
      <w:bookmarkStart w:id="47" w:name="note_15_subsequent_events"/>
      <w:bookmarkEnd w:id="47"/>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rPr>
      </w:pPr>
      <w:bookmarkStart w:id="48" w:name="managements_discussion_and_analysis"/>
      <w:bookmarkEnd w:id="48"/>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This discussion and analysis of our financial condition and results of operations of BridgeBio Oncology Therapeutics, Inc. (“BBOT” “we” “our” or “us”) should be read together with the condensed consolidated financial statements for the three and six months ended June 30, 2026 and 2025, and related notes included in this Quarterly Report on Form 10-Q (“Quarterly Report”).</w:t>
      </w:r>
      <w:r>
        <w:rPr>
          <w:rFonts w:ascii="Times New Roman" w:hAnsi="Times New Roman"/>
          <w:color w:val="000000"/>
          <w:sz w:val="20"/>
        </w:rPr>
        <w:t xml:space="preserv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This discussion may contain forward-looking statements including, but not limited to, our expectations or predictions of future financial or business performance or conditions. Forward-looking statements are inherently subject to risks, uncertainties, and assumptions. Factors that could cause or contribute to such differences include, but are not limited to, those identified below and those discussed in the sections entitled “Risk Factors” and “Cautionary Note Regarding Forward-Looking Statements” included in the Annual Report on Form 10-K (the "Form 10-K").</w:t>
      </w:r>
    </w:p>
    <w:p>
      <w:pPr>
        <w:pStyle w:val="Heading2"/>
        <w:bidi w:val="0"/>
        <w:spacing w:before="200" w:after="283"/>
        <w:jc w:val="both"/>
        <w:rPr>
          <w:rFonts w:ascii="Times New Roman" w:hAnsi="Times New Roman"/>
          <w:color w:val="000000"/>
          <w:sz w:val="20"/>
        </w:rPr>
      </w:pPr>
      <w:bookmarkStart w:id="49" w:name="overview"/>
      <w:bookmarkEnd w:id="49"/>
      <w:r>
        <w:rPr>
          <w:rFonts w:ascii="Times New Roman" w:hAnsi="Times New Roman"/>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clinical-stage biopharmaceutical company advancing a next-generation pipeline of novel small-molecule therapeutics targeting RAS and Phosphoinositide 3-kinase (“PI3K”), headquartered in South San Francisco, California. Our mission is to accelerate scientific and medical breakthroughs and deliver well-tolerated medicines with greater efficacy and safety to people with the deadliest cancers. We are advancing our next-generation RAS-pathway targeted small molecules with a focus on optimized target coverage for patients with tumors driven by RAS and PI3Kα and a synergistic portfolio that is designed to enable targeted KRAS combinations.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our inception, we devoted substantially all of our resources to raising capital, conducting discovery and research activities, and establishing arrangements with third parties. We are currently developing three lead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BBO-8520 is an orally bioavailable small molecule direct inhibitor targeting both the ON and OFF states of KRAS. The U.S. Food and Drug Administration (FDA) has granted Fast Track designation to BBO-8520 for the treatment of adult patients with previously treated, KRAS G12C-mutated metastatic non-small cell lung cancer ("NSCLC"). We are currently enrolling the Phase 1 ONKORAS-101 trial (NCT06343402) for patients with KRAS G12C mutant NSCLC. ONKORAS-101 is an open-label, multi-center Phase 1a/1b study designed to evaluate the safety, tolerability, preliminary antitumor activity, and pharmacokinetics of BBO-8520 as a single agent and in combination with pembrolizumab in patients with KRASG12C mutant NSCLC. On January 7, 2026, we announced new clinical data from the ongoing Phase 1 trial. BBO-8520 in combination with pembrolizumab, at active dose levels, demonstrated promising efficacy data and a distinct safety profile, including a potentially differentiated liver toxicity profile. Updated clinical data are expected in the second half of 2026 and an internal combination study with BBO-10203 opened in April 2026.</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BBO-11818 is an orally bioavailable small molecule pan-KRAS inhibitor that targets mutant KRAS in both the ON and OFF states. We are currently enrolling the Phase 1 KONQUER-101 (NCT06917079) trial for patients with locally advanced or metastatic KRAS mutant solid tumors. On April 20, 2026 we announced that BBOT was granted U.S. FDA Fast Track designation for BBO-11818 for the treatment of adult patients with advanced KRAS-mutant PDAC. Updated Phase 1 clinical data are expected in the second half of 2026. An internal combination study with BBO-10203 opened in July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BBO-10203 is an orally bioavailable small molecule with a novel mechanism of action designed to inhibit the physical interaction between RAS and PI3Kα, inhibiting RAS-driven PI3Kα-AKT signaling in tumors. We are currently enrolling the Phase 1 BREAKER-101 trial (NCT06625775) for patients with locally advanced or metastatic HER2+ breast cancer, HR+/HER2-breast cancer, KRAS mutant colorectal cancer, and KRAS mutant non-small cell lung cancer. Updated clinical data are expected in the second half of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no product candidates approved for sale and have not generated any revenue related to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inception, we have incurred significant operating losses. For the three and six months ended June 30, 2026, we incurred a net loss of $56.5 million and $98.6 million, respectively and had an accumulated deficit of $455.1 million as of June 30, 2026. For the year ended December 31, 2025, we incurred a net loss of $134.0 million. Our ability to generate sufficient product revenue to achieve profitability will depend heavily on the development and eventual commercialization efforts related to our product candidates. We expect to continue to incur significant expenses, and our operating losses are expected to increase for the foreseeable future if and as we:</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Advance our existing and future research and development, including potential expansion into additional indications;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Conduct ongoing and future clinical trials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Pursue investigational new drug applications or comparable foreign applications that allow commencement of the planned clinical trials or additional future clinical trials for any programs we may develop;</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Hire research and development, clinical, manufacturing, and commercial personnel;</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Add operational, financial, and management information systems and personnel;</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Experience any delays, challenges, or other issues associated with the preclinical and clinical development of our product candidates, including with respect to our regulatory strategies;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Develop, maintain, and enhance sustainable, scalable, reproducible, and transferable clinical and commercial-scale current good manufacturing practices (“cGMP”) capabilities through a third party or our own manufacturing facility for the product candidates that we may develop;</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Seek, obtain, and maintain regulatory approvals for any product candidates for which we successfully complete clinical trials;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product candidates for which we may obtain regulatory approval;</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Generate revenue from commercial sales of product candidates for which we receive regulatory approval, if any;</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Maintain safety, tolerability, and efficacy profile of any product we may develop in additional indications following approval in one indication;</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Maintain, expand, enforce, defend, and protect our intellectual property portfolio and other intellectual property protection or regulatory exclusivity for any products we may develop and defend any intellectual property-related claims;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Further acquire or in-license product candidates or programs, intellectual property, and technologies;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Maintain our current licenses and establish and maintain any future collaborations, including making related development and sales milestone payments, royalties, or other required payments; and</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Incur additional costs of operating as a public company, including increased costs of audit, legal, regulatory, and tax-related services associated with maintaining compliance with an exchange listing and the SEC requirements, director and officer insurance premiums and investor and public relations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changes in the outcomes of these variables could significantly affect the costs and timing associated with the development of our product candidates. For example, if the FDA or another comparable regulatory authority were to require us to conduct clinical trials beyond those that we currently anticipate will be required to complete clinical development and obtain regulatory approval of one or more product candidates, or if we experience significant delays in our preclinical studies or clinical trials, we would be required to expend significant additional financial resources and time to advance and complete clinical development. We may never obtain regulatory approval for any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not generate revenue from product sales unless and until we successfully initiate and complete clinical development and obtain regulatory approval for any product candidates. If we obtain regulatory approval for any of our product candidates and do not enter into a commercialization partnership, we expect to incur significant expenses related to developing our commercialization capability to support product sales, manufacturing, marketing, and distribution.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above factors, we expect to need substantial additional funding to support our continued operations and growth strategy. Until such a time as we can generate significant revenue from our product sales, if ever, we expect to finance our operations through the sale of equity, debt financings, or other capital sources, including collaborations with other companies or other strategic transactions. We may not be able to raise additional funds or enter into such other agreements on favorable terms or at all. If we fail to raise capital or enter into such agreements as and when needed, we may have to significantly delay, scale back, or discontinue the development and commercialization of one or more of our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numerous risks associated with product development, we cannot accurately predict the timing or amount of increased expenses, or when or if we will be able to achieve or maintain profitability. Even if we are able to generate product sales, we may not become profitable. If we fail to become profitable or cannot sustain profitability on a continuing basis, then we may be unable to continue our operations at planned levels and be forced to reduce or terminate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200" w:after="283"/>
        <w:jc w:val="both"/>
        <w:rPr>
          <w:rFonts w:ascii="Times New Roman" w:hAnsi="Times New Roman"/>
          <w:color w:val="000000"/>
          <w:sz w:val="20"/>
        </w:rPr>
      </w:pPr>
      <w:bookmarkStart w:id="50" w:name="de_spac_transaction"/>
      <w:bookmarkEnd w:id="50"/>
      <w:r>
        <w:rPr>
          <w:rFonts w:ascii="Times New Roman" w:hAnsi="Times New Roman"/>
          <w:color w:val="000000"/>
          <w:sz w:val="20"/>
        </w:rPr>
        <w:t>de-SPAC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28, 2025, TheRas, Inc. (“Legacy BBOT”) entered into a definitive business combination agreement, amended on June 17, 2025 (“Business Combination Agreement”) with Helix Acquisition Corp. II (“Helix”), a publicly traded special purpose acquisition company listed on Nasdaq under the ticker symbol “HLXB.”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Business Combination Agreement closing, Helix II Merger Sub, Inc., a wholly owned subsidiary of Helix, merged with and into Legacy BBOT, with Legacy BBOT surviving the merger as a wholly-owned subsidiary of Helix (“Merger”). In connection with the Merger, Helix changed its name to BridgeBio Oncology Therapeutics, Inc. and redomiciled as a Delaware corporation (“de-SPAC Transaction”). The de-SPAC Transaction was consummated on August 11, 2025 (“Closing”), and BBOT’s common stock became listed on Nasdaq under the ticker symbol “BBOT”. Prior to the Closing, all references to BBOT are related to the balances and activity of Legacy BBOT. Upon the Closing, BBOT became the successor of Helix and the reporting entity which consolidates the balances and activity of Legacy BBOT.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Concurrent with the execution of the Business Combination Agreement, Helix entered into subscription agreements with certain investors pursuant to which Helix agreed to issue and sell shares of its common stock to investors in a private placement financing (“PIPE Financing”) for an aggregate purchase price of approximately $260.9 million, which was executed immediately prior to the Closing.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de-SPAC Transaction was accounted for as a reverse recapitalization effective upon the Closing. Under this method of accounting, Helix was treated as the acquired company for accounting purposes, and BBOT was the deemed acquirer for accounting purposes. The financial statements of BBOT for periods prior to the Closing include the financial information of Legacy BBOT.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of shares and per share amounts for all periods presented were adjusted to reflect the capital structure of BBOT. For periods prior to the Closing, the share activity of BBOT was recast by multiplying the number of shares of Legacy BBOT held by each investor by a ratio of approximately 0.0889 (“Consideration Ratio”), established by the Business Combination Agreement, rounded down to the nearest whole share. The de-SPAC Transaction is presented as the issuance of common stock for the net assets of Helix and proceeds from the PIPE Financing, accompanied by a recapitalization and a change in the reporting entity. The net assets of Helix were recorded at historical cost as of the Closing date, with no goodwill or other intangible assets recognized.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de-SPAC Transaction, we assumed the operations of Legacy BBOT upon the Closing, and we became subject to the regulatory and reporting requirements and customary practices applicable to public companies. The costs and administrative demands of operating as a public company, including hiring additional personnel and implementing certain procedures and processes, may materially impact our financial position and results of operations.</w:t>
      </w:r>
    </w:p>
    <w:p>
      <w:pPr>
        <w:pStyle w:val="Heading2"/>
        <w:bidi w:val="0"/>
        <w:spacing w:before="200" w:after="283"/>
        <w:jc w:val="both"/>
        <w:rPr>
          <w:rFonts w:ascii="Times New Roman" w:hAnsi="Times New Roman"/>
          <w:color w:val="000000"/>
          <w:sz w:val="20"/>
        </w:rPr>
      </w:pPr>
      <w:bookmarkStart w:id="51" w:name="related_party_relationships_mda"/>
      <w:bookmarkEnd w:id="51"/>
      <w:r>
        <w:rPr>
          <w:rFonts w:ascii="Times New Roman" w:hAnsi="Times New Roman"/>
          <w:color w:val="000000"/>
          <w:sz w:val="20"/>
        </w:rPr>
        <w:t>Material Related Party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BridgeBio Pharma is a commercial-stage biopharmaceutical company founded to discover, create, test, and deliver transformative medicines to treat patients who suffer from genetic diseases and cancers with clear genetic drivers. BridgeBio Pharma and its controlled entities are related parties of BBOT.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August 2025, upon completion of the de-SPAC Transaction, we made a contractual promise to issue 784,720 shares of our common stock to BridgeBio Pharma (“TSA Shares”), which was not contingent on anything but the passage of time. We treated this transaction as a nonreciprocal transfer with a non-pro-rata distribution to related party. The contract was concluded to be equity-classified, and we recorded general and administrative expense of $7.8 million equal to the fair value of the underlying shares as of the contract execution date. The TSA Shares were issued to BridgeBio Pharma in October 2025.</w:t>
      </w:r>
    </w:p>
    <w:p>
      <w:pPr>
        <w:pStyle w:val="Heading2"/>
        <w:bidi w:val="0"/>
        <w:spacing w:before="40" w:after="283"/>
        <w:jc w:val="both"/>
        <w:rPr>
          <w:rFonts w:ascii="Times New Roman" w:hAnsi="Times New Roman"/>
          <w:color w:val="000000"/>
          <w:sz w:val="20"/>
        </w:rPr>
      </w:pPr>
      <w:r>
        <w:rPr>
          <w:rFonts w:ascii="Times New Roman" w:hAnsi="Times New Roman"/>
          <w:color w:val="000000"/>
          <w:sz w:val="20"/>
        </w:rPr>
        <w:t>Emerging Growth Company Status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an emerging growth company (“EGC”) under the Jumpstart Our Business Startups Act (the “JOBS Act”), we are eligible for certain regulatory relief, including reduced disclosure obligations and extended transition periods for adopting new or revised accounting standards. Our EGC status commenced upon the completion of Helix’s initial public offering in February 2024 and is expected to continue for up to five years from this date through February 2029, unless certain disqualifying events occur earlier, such as achieving large accelerated filer status.</w:t>
      </w:r>
    </w:p>
    <w:p>
      <w:pPr>
        <w:pStyle w:val="Heading2"/>
        <w:bidi w:val="0"/>
        <w:spacing w:before="200" w:after="283"/>
        <w:jc w:val="both"/>
        <w:rPr>
          <w:rFonts w:ascii="Times New Roman" w:hAnsi="Times New Roman"/>
          <w:color w:val="000000"/>
          <w:sz w:val="20"/>
        </w:rPr>
      </w:pPr>
      <w:bookmarkStart w:id="52" w:name="impact_of_general_economic_risk_factors"/>
      <w:bookmarkEnd w:id="52"/>
      <w:r>
        <w:rPr>
          <w:rFonts w:ascii="Times New Roman" w:hAnsi="Times New Roman"/>
          <w:color w:val="000000"/>
          <w:sz w:val="20"/>
        </w:rPr>
        <w:t>Impact of General Economic Risk Factors on Our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Uncertainty in the global economy presents significant risks to our business. We are subject to continuing risks and uncertainties in connection with the current macroeconomic environment, including inflation, fluctuating interest rates, new or increased tariffs and other barriers to trade, changes to fiscal and monetary policy or government budget dynamics, particularly in the pharmaceutical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biotech spaces, bank failures, geopolitical factors, including the ongoing conflicts between Russia and Ukraine and in the Middle East and the responses thereto, and supply chain disruptions.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closely monitor the impact of the current macroeconomic and geopolitical conditions on all aspects of our business, including the impacts on participants in any future clinical trials and our employees, suppliers, vendors, business partners, and our future access to capital, the ultimate extent of the impact on our business remains highly uncertain and will depend on future developments and factors that continue to evolve. Most of these developments and factors are outside of our control and could exist for an extended period. We will continue to evaluate the nature and extent of the potential impacts on our business, results of operations, liquidity, and capital resources.</w:t>
      </w:r>
    </w:p>
    <w:p>
      <w:pPr>
        <w:pStyle w:val="Heading2"/>
        <w:bidi w:val="0"/>
        <w:spacing w:before="200" w:after="283"/>
        <w:jc w:val="both"/>
        <w:rPr>
          <w:rFonts w:ascii="Times New Roman" w:hAnsi="Times New Roman"/>
          <w:color w:val="000000"/>
          <w:sz w:val="20"/>
        </w:rPr>
      </w:pPr>
      <w:bookmarkStart w:id="53" w:name="components_of_results_of_operations"/>
      <w:bookmarkEnd w:id="53"/>
      <w:r>
        <w:rPr>
          <w:rFonts w:ascii="Times New Roman" w:hAnsi="Times New Roman"/>
          <w:color w:val="000000"/>
          <w:sz w:val="20"/>
        </w:rPr>
        <w:t>Components of Results of Operations</w:t>
      </w:r>
    </w:p>
    <w:p>
      <w:pPr>
        <w:pStyle w:val="TextBody"/>
        <w:bidi w:val="0"/>
        <w:spacing w:before="200" w:after="283"/>
        <w:jc w:val="both"/>
        <w:rPr>
          <w:rFonts w:ascii="Times New Roman" w:hAnsi="Times New Roman"/>
          <w:b/>
          <w:i/>
          <w:color w:val="000000"/>
          <w:sz w:val="20"/>
        </w:rPr>
      </w:pPr>
      <w:bookmarkStart w:id="54" w:name="revenues"/>
      <w:bookmarkEnd w:id="54"/>
      <w:r>
        <w:rPr>
          <w:rFonts w:ascii="Times New Roman" w:hAnsi="Times New Roman"/>
          <w:b/>
          <w:i/>
          <w:color w:val="000000"/>
          <w:sz w:val="20"/>
        </w:rPr>
        <w:t>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date, we have not generated any revenue from product candidates under development and do not expect to generate any revenue in the foreseeable future. If our development efforts for our product candidates are successful and result in regulatory approval, we may generate revenue from product sales in the future.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200" w:after="283"/>
        <w:jc w:val="both"/>
        <w:rPr>
          <w:rFonts w:ascii="Times New Roman" w:hAnsi="Times New Roman"/>
          <w:b/>
          <w:i/>
          <w:color w:val="000000"/>
          <w:sz w:val="20"/>
        </w:rPr>
      </w:pPr>
      <w:bookmarkStart w:id="55" w:name="operating_expenses"/>
      <w:bookmarkEnd w:id="55"/>
      <w:r>
        <w:rPr>
          <w:rFonts w:ascii="Times New Roman" w:hAnsi="Times New Roman"/>
          <w:b/>
          <w:i/>
          <w:color w:val="000000"/>
          <w:sz w:val="20"/>
        </w:rPr>
        <w:t>Operating Expenses</w:t>
      </w:r>
    </w:p>
    <w:p>
      <w:pPr>
        <w:pStyle w:val="TextBody"/>
        <w:bidi w:val="0"/>
        <w:spacing w:before="200" w:after="283"/>
        <w:jc w:val="both"/>
        <w:rPr>
          <w:rFonts w:ascii="Times New Roman" w:hAnsi="Times New Roman"/>
          <w:i/>
          <w:color w:val="000000"/>
          <w:sz w:val="20"/>
        </w:rPr>
      </w:pPr>
      <w:bookmarkStart w:id="56" w:name="research_and_development_expenses"/>
      <w:bookmarkEnd w:id="56"/>
      <w:r>
        <w:rPr>
          <w:rFonts w:ascii="Times New Roman" w:hAnsi="Times New Roman"/>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drug discovery efforts, and the development of our product candidates, which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Employee-related expenses, including salaries, related benefits, stock-based compensation, and travel expenses for employees engaged in research and development functions;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Expenses incurred in connection with the preclinical and clinical development of our product candidates, including under agreements with contract research organizations (“CROs”)</w:t>
      </w:r>
      <w:r>
        <w:rPr>
          <w:rFonts w:ascii="Times New Roman" w:hAnsi="Times New Roman"/>
          <w:i/>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The cost of consultants and contract manufacturing organizations (“CMOs”) that manufacture drug products for use in our preclinical studies and clinical trials</w:t>
      </w:r>
      <w:r>
        <w:rPr>
          <w:rFonts w:ascii="Times New Roman" w:hAnsi="Times New Roman"/>
          <w:i/>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Facilities, depreciation, insurance, and other direct and allocated expenses incurred as a result of research and development activities;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Payments made under third-party licensing and asset acquisition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direct research and development costs consist primarily of external costs, such as fees paid to consultants, contractors, CMOs, and CROs in connection with our preclinical and clinical development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heavily dependent on the success of our product candidates, which are in early stages of development, and require a lengthy and expensive process with uncertain outcomes and the potential for substantial delays. We cannot give any assurance that any of our product candidates will receive regulatory approval, which is necessary before they can be commercialized.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 candidates in later stages of clinical development generally have higher development costs than those in earlier stages, primarily due to the increased size and duration of later-stage clinical trials. We expect that our research and development expenses will increase substantially in connection with our planned clinical and preclinical development activities in the near term and in future reporting periods, as we conduct additional clinical trials for our product candidates. We currently track research and development expenses based on expense nature.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i/>
          <w:color w:val="000000"/>
          <w:sz w:val="20"/>
        </w:rPr>
      </w:pPr>
      <w:bookmarkStart w:id="57" w:name="general_and_administrative_expenses"/>
      <w:bookmarkEnd w:id="57"/>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general and administrative costs consist primarily of fair value of common stock issued to BridgeBio Pharma, employee-related costs, travel expenses, expenses for outside professional services, including legal, human resources, audit, accounting, and tax services, and allocated facilities-related costs. Employee-related costs include salaries, bonuses, related benefits, and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incur additional expenses as a result of operating as a public company, including expenses related to compliance with the rules and regulations of the SEC and listing standards applicable to companies listed on a national securities exchange, additional insurance expenses, investor relations activities, and other administrative and professional services. We also expect to increase the size of our administrative, finance, and legal functions to support the anticipated growth of our business.</w:t>
      </w:r>
    </w:p>
    <w:p>
      <w:pPr>
        <w:pStyle w:val="TextBody"/>
        <w:bidi w:val="0"/>
        <w:spacing w:before="200" w:after="283"/>
        <w:jc w:val="both"/>
        <w:rPr>
          <w:rFonts w:ascii="Times New Roman" w:hAnsi="Times New Roman"/>
          <w:b/>
          <w:i/>
          <w:color w:val="000000"/>
          <w:sz w:val="20"/>
        </w:rPr>
      </w:pPr>
      <w:bookmarkStart w:id="58" w:name="other_income_expenses_net"/>
      <w:bookmarkEnd w:id="58"/>
      <w:r>
        <w:rPr>
          <w:rFonts w:ascii="Times New Roman" w:hAnsi="Times New Roman"/>
          <w:b/>
          <w:i/>
          <w:color w:val="000000"/>
          <w:sz w:val="20"/>
        </w:rPr>
        <w:t>Other Income, Net</w:t>
      </w:r>
    </w:p>
    <w:p>
      <w:pPr>
        <w:pStyle w:val="TextBody"/>
        <w:bidi w:val="0"/>
        <w:spacing w:before="200" w:after="283"/>
        <w:jc w:val="both"/>
        <w:rPr>
          <w:rFonts w:ascii="Times New Roman" w:hAnsi="Times New Roman"/>
          <w:i/>
          <w:color w:val="000000"/>
          <w:sz w:val="20"/>
        </w:rPr>
      </w:pPr>
      <w:bookmarkStart w:id="59" w:name="interest_income"/>
      <w:bookmarkEnd w:id="59"/>
      <w:r>
        <w:rPr>
          <w:rFonts w:ascii="Times New Roman" w:hAnsi="Times New Roman"/>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consists of interest income earned on our cash equivalents and marketable securities.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Income from Transition Services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from transition services agreements includes income for certain services provided to an unrelated party.</w:t>
      </w:r>
    </w:p>
    <w:p>
      <w:pPr>
        <w:pStyle w:val="TextBody"/>
        <w:bidi w:val="0"/>
        <w:spacing w:before="200" w:after="283"/>
        <w:jc w:val="both"/>
        <w:rPr>
          <w:rFonts w:ascii="Times New Roman" w:hAnsi="Times New Roman"/>
          <w:i/>
          <w:color w:val="000000"/>
          <w:sz w:val="20"/>
        </w:rPr>
      </w:pPr>
      <w:bookmarkStart w:id="60" w:name="change_in_fair_value_of_part_right_liab"/>
      <w:bookmarkEnd w:id="60"/>
      <w:r>
        <w:rPr>
          <w:rFonts w:ascii="Times New Roman" w:hAnsi="Times New Roman"/>
          <w:i/>
          <w:color w:val="000000"/>
          <w:sz w:val="20"/>
        </w:rPr>
        <w:t>Change in Fair Value of Participation 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 in fair value of participation right liability represents the income or expense from the right to participate in the Legacy BBOT Series B Financing that we provided to the Regents of the University of California (“UCSF”), which was determined to be a freestanding financial instrument. This right was not exercised upon the initial issuance of the Series B in April 2024 and was subsequently extended through March 2025. UCSF elected to exercise the participation right in March 2025, and it was settled in full through the issuance of Series B shares in April 2025.</w:t>
      </w:r>
    </w:p>
    <w:p>
      <w:pPr>
        <w:pStyle w:val="Heading2"/>
        <w:bidi w:val="0"/>
        <w:spacing w:before="200" w:after="283"/>
        <w:jc w:val="both"/>
        <w:rPr>
          <w:rFonts w:ascii="Times New Roman" w:hAnsi="Times New Roman"/>
          <w:color w:val="000000"/>
          <w:sz w:val="20"/>
        </w:rPr>
      </w:pPr>
      <w:bookmarkStart w:id="61" w:name="results_of_operations"/>
      <w:bookmarkEnd w:id="61"/>
      <w:r>
        <w:rPr>
          <w:rFonts w:ascii="Times New Roman" w:hAnsi="Times New Roman"/>
          <w:color w:val="000000"/>
          <w:sz w:val="20"/>
        </w:rPr>
        <w:t>Results of Operations</w:t>
      </w:r>
    </w:p>
    <w:p>
      <w:pPr>
        <w:pStyle w:val="TextBody"/>
        <w:bidi w:val="0"/>
        <w:spacing w:before="200" w:after="283"/>
        <w:jc w:val="both"/>
        <w:rPr>
          <w:rFonts w:ascii="Times New Roman" w:hAnsi="Times New Roman"/>
          <w:b/>
          <w:i/>
          <w:color w:val="000000"/>
          <w:sz w:val="20"/>
        </w:rPr>
      </w:pPr>
      <w:bookmarkStart w:id="62" w:name="comparison_of_the_three_months_ended"/>
      <w:bookmarkEnd w:id="62"/>
      <w:r>
        <w:rPr>
          <w:rFonts w:ascii="Times New Roman" w:hAnsi="Times New Roman"/>
          <w:b/>
          <w:i/>
          <w:color w:val="000000"/>
          <w:sz w:val="20"/>
        </w:rPr>
        <w:t>Comparison of the three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three months ended June 30, 2026 and 2025 (in thousands):</w:t>
      </w:r>
    </w:p>
    <w:p>
      <w:pPr>
        <w:pStyle w:val="TextBody"/>
        <w:bidi w:val="0"/>
        <w:jc w:val="both"/>
        <w:rPr/>
      </w:pPr>
      <w:r>
        <w:rPr/>
        <w:t> </w:t>
      </w:r>
    </w:p>
    <w:tbl>
      <w:tblPr>
        <w:tblW w:w="9762" w:type="dxa"/>
        <w:jc w:val="left"/>
        <w:tblInd w:w="0" w:type="dxa"/>
        <w:tblLayout w:type="fixed"/>
        <w:tblCellMar>
          <w:top w:w="28" w:type="dxa"/>
          <w:left w:w="28" w:type="dxa"/>
          <w:bottom w:w="28" w:type="dxa"/>
          <w:right w:w="28" w:type="dxa"/>
        </w:tblCellMar>
      </w:tblPr>
      <w:tblGrid>
        <w:gridCol w:w="3816"/>
        <w:gridCol w:w="251"/>
        <w:gridCol w:w="876"/>
        <w:gridCol w:w="197"/>
        <w:gridCol w:w="173"/>
        <w:gridCol w:w="251"/>
        <w:gridCol w:w="876"/>
        <w:gridCol w:w="166"/>
        <w:gridCol w:w="146"/>
        <w:gridCol w:w="211"/>
        <w:gridCol w:w="736"/>
        <w:gridCol w:w="166"/>
        <w:gridCol w:w="146"/>
        <w:gridCol w:w="266"/>
        <w:gridCol w:w="769"/>
        <w:gridCol w:w="716"/>
      </w:tblGrid>
      <w:tr>
        <w:trPr/>
        <w:tc>
          <w:tcPr>
            <w:tcW w:w="38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transition services agreements</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15"/>
        </w:rPr>
      </w:pPr>
      <w:r>
        <w:rPr>
          <w:rFonts w:ascii="Times New Roman" w:hAnsi="Times New Roman"/>
          <w:color w:val="000000"/>
          <w:sz w:val="15"/>
        </w:rPr>
        <w:t>* Percentage is not meaningful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consisted of the following components for the periods indicated (in thousands):</w:t>
      </w:r>
    </w:p>
    <w:p>
      <w:pPr>
        <w:pStyle w:val="TextBody"/>
        <w:bidi w:val="0"/>
        <w:jc w:val="both"/>
        <w:rPr/>
      </w:pPr>
      <w:r>
        <w:rPr/>
        <w:t> </w:t>
      </w:r>
    </w:p>
    <w:tbl>
      <w:tblPr>
        <w:tblW w:w="8975" w:type="dxa"/>
        <w:jc w:val="left"/>
        <w:tblInd w:w="0" w:type="dxa"/>
        <w:tblLayout w:type="fixed"/>
        <w:tblCellMar>
          <w:top w:w="28" w:type="dxa"/>
          <w:left w:w="28" w:type="dxa"/>
          <w:bottom w:w="28" w:type="dxa"/>
          <w:right w:w="28" w:type="dxa"/>
        </w:tblCellMar>
      </w:tblPr>
      <w:tblGrid>
        <w:gridCol w:w="4981"/>
        <w:gridCol w:w="268"/>
        <w:gridCol w:w="859"/>
        <w:gridCol w:w="185"/>
        <w:gridCol w:w="185"/>
        <w:gridCol w:w="268"/>
        <w:gridCol w:w="859"/>
        <w:gridCol w:w="146"/>
        <w:gridCol w:w="146"/>
        <w:gridCol w:w="211"/>
        <w:gridCol w:w="676"/>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trials and consumables expenses</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expenses</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49,225</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increased by $21.8 million or 79%, from $27.4 million for the three months ended June 30, 2025, to $49.2 million for the three months ended June 30, 2026. The changes in research and development expenses include the following key drivers: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$17.5 million increase in research and development trials and consumables expenses pertaining to increases in clinical trial expenses and manufacturing expenses for BBO-8520, BBO-10203 and BBO-11818,</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$3.6 million increase in our payroll and personnel expenses primarily due to headcount expansion,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$0.6 million increase in facilities and other expenses primarily as a result of increased professional and consultant fees.</w:t>
      </w:r>
    </w:p>
    <w:p>
      <w:pPr>
        <w:pStyle w:val="TextBody"/>
        <w:bidi w:val="0"/>
        <w:spacing w:before="200" w:after="283"/>
        <w:jc w:val="both"/>
        <w:rPr>
          <w:rFonts w:ascii="Times New Roman" w:hAnsi="Times New Roman"/>
          <w:i/>
          <w:color w:val="000000"/>
          <w:sz w:val="20"/>
        </w:rPr>
      </w:pPr>
      <w:bookmarkStart w:id="63" w:name="general_and_administrative_expense"/>
      <w:bookmarkEnd w:id="63"/>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increased by $8.3 million or $313%, from $2.7 million for the three months ended June 30, 2025, to $11.0 million for the three months ended June 30, 2026. The changes in our general and administrative expenses were driven by the following key drivers: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$6.9 million increase in payroll and personnel-related expenses which includes increased headcount as a result of our standalone operations after the de-SPAC Transaction and $3.0 million of stock-based compensation expense recorded as a result of certain modified equity awards and accrued severance costs for former executives,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$1.4 million increase in legal, facilities and other expenses due to the growth and establishment of our operations as a public company.</w:t>
      </w:r>
    </w:p>
    <w:p>
      <w:pPr>
        <w:pStyle w:val="TextBody"/>
        <w:bidi w:val="0"/>
        <w:spacing w:before="200" w:after="283"/>
        <w:jc w:val="both"/>
        <w:rPr>
          <w:rFonts w:ascii="Times New Roman" w:hAnsi="Times New Roman"/>
          <w:i/>
          <w:color w:val="000000"/>
          <w:sz w:val="20"/>
        </w:rPr>
      </w:pPr>
      <w:bookmarkStart w:id="64" w:name="interest_income_mda"/>
      <w:bookmarkEnd w:id="64"/>
      <w:r>
        <w:rPr>
          <w:rFonts w:ascii="Times New Roman" w:hAnsi="Times New Roman"/>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increased by $1.9 million, from $1.7 million for the three months ended June 30, 2025, to $3.6 million for the three months ended June 30, 2026. Interest income was higher during the second quarter of 2026 due to interest earnings on our cash, cash equivalents, and marketable securities portfolio which includes the proceeds from the de-SPAC Transaction and PIPE Financing completed in August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Income from Transition Services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of $0.2 million for the three months ended June 30, 2026 was related to a transition services agreement with an unrelated party. There was no income from transition services agreements during the three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200" w:after="283"/>
        <w:jc w:val="both"/>
        <w:rPr>
          <w:rFonts w:ascii="Times New Roman" w:hAnsi="Times New Roman"/>
          <w:color w:val="000000"/>
          <w:sz w:val="20"/>
        </w:rPr>
      </w:pPr>
      <w:r>
        <w:rPr>
          <w:rFonts w:ascii="Times New Roman" w:hAnsi="Times New Roman"/>
          <w:color w:val="000000"/>
          <w:sz w:val="20"/>
        </w:rPr>
        <w:t>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six months ended June 30, 2026 and 2025 (in thousands):</w:t>
      </w:r>
    </w:p>
    <w:p>
      <w:pPr>
        <w:pStyle w:val="TextBody"/>
        <w:bidi w:val="0"/>
        <w:jc w:val="both"/>
        <w:rPr/>
      </w:pPr>
      <w:r>
        <w:rPr/>
        <w:t> </w:t>
      </w:r>
    </w:p>
    <w:tbl>
      <w:tblPr>
        <w:tblW w:w="10120" w:type="dxa"/>
        <w:jc w:val="left"/>
        <w:tblInd w:w="0" w:type="dxa"/>
        <w:tblLayout w:type="fixed"/>
        <w:tblCellMar>
          <w:top w:w="28" w:type="dxa"/>
          <w:left w:w="28" w:type="dxa"/>
          <w:bottom w:w="28" w:type="dxa"/>
          <w:right w:w="28" w:type="dxa"/>
        </w:tblCellMar>
      </w:tblPr>
      <w:tblGrid>
        <w:gridCol w:w="4416"/>
        <w:gridCol w:w="217"/>
        <w:gridCol w:w="868"/>
        <w:gridCol w:w="171"/>
        <w:gridCol w:w="150"/>
        <w:gridCol w:w="217"/>
        <w:gridCol w:w="759"/>
        <w:gridCol w:w="166"/>
        <w:gridCol w:w="146"/>
        <w:gridCol w:w="211"/>
        <w:gridCol w:w="736"/>
        <w:gridCol w:w="166"/>
        <w:gridCol w:w="146"/>
        <w:gridCol w:w="240"/>
        <w:gridCol w:w="795"/>
        <w:gridCol w:w="716"/>
      </w:tblGrid>
      <w:tr>
        <w:trPr/>
        <w:tc>
          <w:tcPr>
            <w:tcW w:w="44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transition services agreements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participation right liability</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15"/>
        </w:rPr>
      </w:pPr>
      <w:r>
        <w:rPr>
          <w:rFonts w:ascii="Times New Roman" w:hAnsi="Times New Roman"/>
          <w:color w:val="000000"/>
          <w:sz w:val="15"/>
        </w:rPr>
        <w:t>* Percentage is not meaningful</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consisted of the following components for the periods indicated (in thousands):</w:t>
      </w:r>
    </w:p>
    <w:p>
      <w:pPr>
        <w:pStyle w:val="TextBody"/>
        <w:bidi w:val="0"/>
        <w:jc w:val="both"/>
        <w:rPr/>
      </w:pPr>
      <w:r>
        <w:rPr/>
        <w:t> </w:t>
      </w:r>
    </w:p>
    <w:tbl>
      <w:tblPr>
        <w:tblW w:w="8733" w:type="dxa"/>
        <w:jc w:val="left"/>
        <w:tblInd w:w="0" w:type="dxa"/>
        <w:tblLayout w:type="fixed"/>
        <w:tblCellMar>
          <w:top w:w="28" w:type="dxa"/>
          <w:left w:w="28" w:type="dxa"/>
          <w:bottom w:w="28" w:type="dxa"/>
          <w:right w:w="28" w:type="dxa"/>
        </w:tblCellMar>
      </w:tblPr>
      <w:tblGrid>
        <w:gridCol w:w="4981"/>
        <w:gridCol w:w="243"/>
        <w:gridCol w:w="780"/>
        <w:gridCol w:w="168"/>
        <w:gridCol w:w="168"/>
        <w:gridCol w:w="243"/>
        <w:gridCol w:w="780"/>
        <w:gridCol w:w="146"/>
        <w:gridCol w:w="146"/>
        <w:gridCol w:w="211"/>
        <w:gridCol w:w="676"/>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trials and consumables expenses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expenses</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increased by $41.0 million or 85%, from $48.1 million for the six months ended June 30, 2025, to $89.0 million for the six months ended June 30, 2026. The changes in research and development expenses include the following key drivers: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$33.1 million increase in research and development trials and consumables expenses pertaining to increases in clinical trial expenses and manufacturing expenses for BBO-8520, BBO-10203 and BBO-11818,</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$7.5 million increase in our payroll and personnel expenses primarily due to headcount expansion,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$0.3 million increase in facilities and other expenses primarily as a result of increased professional fees and consulting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increased by $12.2 million or $236%, from $5.2 million for the six months ended June 30, 2025, to $17.3 million for the six months ended June 30, 2026. The changes in our general and administrative expenses were driven by the following key drivers: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$9.9 million increase in payroll and personnel-related expenses which includes increased headcount as a result of our standalone operations after the de-SPAC Transaction and $3.0 million of stock-based compensation expense recorded as a result of certain modified equity awards and accrued severance costs for former executives,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$2.3 million increase in legal, facilities and other expenses due to the growth and establishment of our operations as a public company.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increased by $4.0 million, from $3.5 million for the six months ended June 30, 2025, to $7.5 million for the six months ended June 30, 2026. Interest income was higher during the six months ended June 2026 due to interest earnings on our cash, cash equivalents, and marketable securities portfolio which includes the proceeds from the de-SPAC Transaction and PIPE Financing completed in August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Income from Transition Services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of $0.4 million for the six months ended June 30, 2026 was related to a transition services agreement with an unrelated party. There was no income from transition services agreements during the six months ended June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Change in Fair Value of Participation 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change in fair value of participation right liability was recorded for the six months ended June 30, 2026 because the participation right was settled in full in April 2025, and there were no subsequent changes in fair value of the associated liability. The change in fair value of participation right liability of $0.7 million for the six months ended June 30, 2025 represented the increase in the estimated fair value per share of the underlying Legacy BBOT Series B redeemable convertible preferred stock relative to the fixed price per share granted to UCSF in connection with the participation right.</w:t>
      </w:r>
    </w:p>
    <w:p>
      <w:pPr>
        <w:pStyle w:val="Heading2"/>
        <w:bidi w:val="0"/>
        <w:spacing w:before="200" w:after="283"/>
        <w:jc w:val="both"/>
        <w:rPr>
          <w:rFonts w:ascii="Times New Roman" w:hAnsi="Times New Roman"/>
          <w:color w:val="000000"/>
          <w:sz w:val="20"/>
        </w:rPr>
      </w:pPr>
      <w:bookmarkStart w:id="65" w:name="liquidity_going_concern_and_capital_reso"/>
      <w:bookmarkEnd w:id="65"/>
      <w:r>
        <w:rPr>
          <w:rFonts w:ascii="Times New Roman" w:hAnsi="Times New Roman"/>
          <w:color w:val="000000"/>
          <w:sz w:val="20"/>
        </w:rPr>
        <w:t>Liquidity, Going Concern, and Capital Resources</w:t>
      </w:r>
    </w:p>
    <w:p>
      <w:pPr>
        <w:pStyle w:val="TextBody"/>
        <w:bidi w:val="0"/>
        <w:spacing w:before="200" w:after="283"/>
        <w:jc w:val="both"/>
        <w:rPr>
          <w:rFonts w:ascii="Times New Roman" w:hAnsi="Times New Roman"/>
          <w:sz w:val="20"/>
        </w:rPr>
      </w:pPr>
      <w:bookmarkStart w:id="66" w:name="sources_of_liquidity"/>
      <w:bookmarkEnd w:id="66"/>
      <w:r>
        <w:rPr>
          <w:rFonts w:ascii="Times New Roman" w:hAnsi="Times New Roman"/>
          <w:b/>
          <w:i/>
          <w:color w:val="000000"/>
          <w:sz w:val="20"/>
        </w:rPr>
        <w:t>Sources</w:t>
      </w:r>
      <w:r>
        <w:rPr>
          <w:rFonts w:ascii="Times New Roman" w:hAnsi="Times New Roman"/>
          <w:color w:val="000000"/>
          <w:sz w:val="20"/>
        </w:rPr>
        <w:t xml:space="preserve"> </w:t>
      </w:r>
      <w:r>
        <w:rPr>
          <w:rFonts w:ascii="Times New Roman" w:hAnsi="Times New Roman"/>
          <w:b/>
          <w:i/>
          <w:color w:val="000000"/>
          <w:sz w:val="20"/>
        </w:rPr>
        <w:t>of 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our inception, we have incurred significant operating losses. For the six months ended June 30, 2026, we incurred a net loss of $98.6 million and had an accumulated deficit of $455.1 million as of June 30, 2026. For the year ended December 31, 2025, we incurred a net loss of $134.0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2017, we issued to BridgeBio Pharma 800,061 shares of Series Seed redeemable convertible preferred stock in a single closing at $1.2508 per share for gross cash proceeds of $1.0 million. Between May 2017 and April 2024, we issued to BridgeBio Pharma 10,929,005 shares of Series A redeemable convertible preferred stock (“Series A”) at $11.2467 per share for gross cash proceeds of $122.9 million and 2,072,629 shares of the Series A at $11.2467 per share in exchange for the settlement of related party payables of $23.3 million. In April 2024, we received $175.0 million in gross cash proceeds from the issuance of 19,761,881 shares of Series B at $8.8554 per share. In May 2024, we received $25.0 million in gross cash proceeds through the issuance of 2,823,126 shares of Series B at $8.8554 per share. In March 2025, UCSF elected to exercise the Participation Right. We settled the Participation Right in April 2025 through the issuance of 2,509,446 shares of the Series B for $22.2 million of cash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upon closing of the de-SPAC Transaction, the combined company received $373.5 million from Helix, which included the proceeds from the PIPE Financing, the unredeemed cash held by Helix, and reflected payment of Helix’s transaction costs. The proceeds from the PIPE Financing and reverse recapitalization are expected to advance our project pipeline and will be used for research and development, business development, working capital, and other general corporate purposes.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estimate that the existing cash, cash equivalents, and marketable securities of $344.1 million as of June 30, 2026 will be sufficient to meet the our cash requirements for at least twelve months from the issuance date of the condensed consolidated financial statements for the six months ended June 30, 2026 included in this Quarterly Report. We have based this estimate on assumptions that may prove to be wrong, and our operating plan may change due to many factors currently unknown to management. We could exhaust our available capital resources sooner than management expects.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future, we plan to access capital resources by public or private equity offerings, debt financings, potential collaborations, licensing agreements, and other sources. We have historically been able to raise capital through the issuance and sale of equity and equity-linked instruments, such as redeemable convertible preferred stock for Legacy BBOT and common stock for BBOT. However, no assurance can be provided that we will continue to be successful in doing so in the future. If sufficient funds on acceptable terms are not available when needed, we may be required to significantly reduce our operating expenses and delay, reduce the scope of, or eliminate one or more of our development programs. Failure to manage discretionary spending or raise additional financing, as needed, may adversely impact our ability to achieve our intended business objectives.</w:t>
      </w:r>
    </w:p>
    <w:p>
      <w:pPr>
        <w:pStyle w:val="Heading2"/>
        <w:bidi w:val="0"/>
        <w:spacing w:before="200" w:after="283"/>
        <w:jc w:val="both"/>
        <w:rPr>
          <w:rFonts w:ascii="Times New Roman" w:hAnsi="Times New Roman"/>
          <w:color w:val="000000"/>
          <w:sz w:val="20"/>
        </w:rPr>
      </w:pPr>
      <w:bookmarkStart w:id="67" w:name="cash_flows"/>
      <w:bookmarkEnd w:id="67"/>
      <w:r>
        <w:rPr>
          <w:rFonts w:ascii="Times New Roman" w:hAnsi="Times New Roman"/>
          <w:color w:val="000000"/>
          <w:sz w:val="20"/>
        </w:rPr>
        <w:t>Cash Flows</w:t>
      </w:r>
    </w:p>
    <w:p>
      <w:pPr>
        <w:pStyle w:val="TextBody"/>
        <w:bidi w:val="0"/>
        <w:spacing w:before="200" w:after="283"/>
        <w:jc w:val="both"/>
        <w:rPr>
          <w:rFonts w:ascii="Times New Roman" w:hAnsi="Times New Roman"/>
          <w:i/>
          <w:color w:val="000000"/>
          <w:sz w:val="20"/>
        </w:rPr>
      </w:pPr>
      <w:bookmarkStart w:id="68" w:name="overview_of_bbot_cash_flows"/>
      <w:bookmarkEnd w:id="68"/>
      <w:r>
        <w:rPr>
          <w:rFonts w:ascii="Times New Roman" w:hAnsi="Times New Roman"/>
          <w:i/>
          <w:color w:val="000000"/>
          <w:sz w:val="20"/>
        </w:rPr>
        <w:t>Overview of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historically financed our operations primarily through the sale of equity securities. The de-SPAC Transaction executed in August 2025 represents a major financing event for our business generating cash inflows from the reverse recapitalization and the associated PIPE Financing. We utilized the proceeds from these financing transactions to finance our operations during the three months ended June 30, 2026 and anticipate to continue doing so in the future to facilitate the development of our product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changes in our working capital structure and operating cash flows were notably impacted by the timing of cash disbursements related to our research and development activities. Specifically, we made significant prepayments under our agreements with contract research organizations and contract manufacturing organizations prior to the commencement of clinical trials and manufacturing activities. These upfront deposits increase our prepaid expenses and non-current assets and accelerate cash outflows in periods prior to the recognition of the associated research and development expenses, causing period-over-period fluctuations in our operating cash burn, especially as we ramp up the development of our product candidates.</w:t>
      </w:r>
    </w:p>
    <w:p>
      <w:pPr>
        <w:pStyle w:val="TextBody"/>
        <w:bidi w:val="0"/>
        <w:spacing w:before="200" w:after="283"/>
        <w:jc w:val="both"/>
        <w:rPr>
          <w:rFonts w:ascii="Times New Roman" w:hAnsi="Times New Roman"/>
          <w:sz w:val="20"/>
        </w:rPr>
      </w:pPr>
      <w:bookmarkStart w:id="69" w:name="cash_flow_comparison_for_the_nine_months"/>
      <w:bookmarkEnd w:id="69"/>
      <w:r>
        <w:rPr>
          <w:rFonts w:ascii="Times New Roman" w:hAnsi="Times New Roman"/>
          <w:b/>
          <w:i/>
          <w:color w:val="000000"/>
          <w:sz w:val="20"/>
        </w:rPr>
        <w:t>Cash Flow Comparison for the six</w:t>
      </w:r>
      <w:r>
        <w:rPr>
          <w:rFonts w:ascii="Times New Roman" w:hAnsi="Times New Roman"/>
          <w:color w:val="000000"/>
          <w:sz w:val="20"/>
        </w:rPr>
        <w:t xml:space="preserve"> </w:t>
      </w:r>
      <w:r>
        <w:rPr>
          <w:rFonts w:ascii="Times New Roman" w:hAnsi="Times New Roman"/>
          <w:b/>
          <w:i/>
          <w:color w:val="000000"/>
          <w:sz w:val="20"/>
        </w:rPr>
        <w:t>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cash flows during the periods indicated (in thousands):</w:t>
      </w:r>
    </w:p>
    <w:p>
      <w:pPr>
        <w:pStyle w:val="TextBody"/>
        <w:bidi w:val="0"/>
        <w:jc w:val="both"/>
        <w:rPr/>
      </w:pPr>
      <w:r>
        <w:rPr/>
        <w:t> </w:t>
      </w:r>
    </w:p>
    <w:tbl>
      <w:tblPr>
        <w:tblW w:w="8949" w:type="dxa"/>
        <w:jc w:val="left"/>
        <w:tblInd w:w="0" w:type="dxa"/>
        <w:tblLayout w:type="fixed"/>
        <w:tblCellMar>
          <w:top w:w="28" w:type="dxa"/>
          <w:left w:w="28" w:type="dxa"/>
          <w:bottom w:w="28" w:type="dxa"/>
          <w:right w:w="28" w:type="dxa"/>
        </w:tblCellMar>
      </w:tblPr>
      <w:tblGrid>
        <w:gridCol w:w="4846"/>
        <w:gridCol w:w="146"/>
        <w:gridCol w:w="217"/>
        <w:gridCol w:w="868"/>
        <w:gridCol w:w="171"/>
        <w:gridCol w:w="150"/>
        <w:gridCol w:w="217"/>
        <w:gridCol w:w="759"/>
        <w:gridCol w:w="166"/>
        <w:gridCol w:w="146"/>
        <w:gridCol w:w="211"/>
        <w:gridCol w:w="841"/>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(80,278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(319,624</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bookmarkStart w:id="70" w:name="net_cash_flows_from_operating_activities"/>
      <w:bookmarkEnd w:id="70"/>
      <w:r>
        <w:rPr>
          <w:rFonts w:ascii="Times New Roman" w:hAnsi="Times New Roman"/>
          <w:i/>
          <w:color w:val="000000"/>
          <w:sz w:val="20"/>
        </w:rPr>
        <w:t>Net Cash Flows from</w:t>
      </w:r>
      <w:r>
        <w:rPr>
          <w:rFonts w:ascii="Times New Roman" w:hAnsi="Times New Roman"/>
          <w:color w:val="000000"/>
          <w:sz w:val="20"/>
        </w:rPr>
        <w:t xml:space="preserve"> </w:t>
      </w: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2026 was $80.3 million. This amount consisted of our net loss of $98.6 million, adjusted for a change in net operating assets and liabilities of $6.5 million, and further reduced by non-cash charges of $11.8 million. Our non-cash adjustments primarily consisted of $11.1 million in stock-based compensation, $0.2 million in depreciation, and $0.2 million in amortization of right-of-use assets, and $0.3 million in net accretion of premiums and discounts on marketable securities. The net change in operating assets and liabilities was primarily due to increases in our liabilities, including $10.9 million in accrued research and development liabilities, $5.4 million in accounts payable, $1.4 million in accrued professional services, and a $0.2 million net balance due to and from related parties. These changes were partially offset by decreases in assets of $9.5 million in prepaid expenses and other current assets and $0.2 million in other non-current assets, as well as decreases in liabilities of $1.4 million in accrued compensation and benefits and $0.3 million in operating lease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$42.9 million. This amount consisted of our net loss of $50.5 million, adjusted for a change in net operating assets and liabilities of $5.9 million, and further reduced by non-cash charges of $1.7 million. Our non-cash adjustments primarily included $1.5 million in stock-based compensation, $0.7 million for losses from changes in the fair value of the participation right liability, $0.1 million in depreciation, and $0.1 million in amortization of right of use assets, partially offset by $0.8 million in net accretion of premiums on marketable securities. The net change in operating assets and liabilities was primarily due to a $11.5 million increase in accrued research and development liabilities, and $0.3 million in accrued professional services. These changes were partially offset by an increase of $2.7 million in prepaid expenses and other current assets, a decrease of $1.5 million in accounts payable, a decrease of $1.1 million in accrued compensation and benefits, and an increase of $0.3 million in other non-current assets. </w:t>
      </w:r>
    </w:p>
    <w:p>
      <w:pPr>
        <w:pStyle w:val="TextBody"/>
        <w:bidi w:val="0"/>
        <w:spacing w:before="200" w:after="283"/>
        <w:jc w:val="both"/>
        <w:rPr>
          <w:rFonts w:ascii="Times New Roman" w:hAnsi="Times New Roman"/>
          <w:i/>
          <w:color w:val="000000"/>
          <w:sz w:val="20"/>
        </w:rPr>
      </w:pPr>
      <w:bookmarkStart w:id="71" w:name="net_cash_flows_from_investing_activities"/>
      <w:bookmarkEnd w:id="71"/>
      <w:r>
        <w:rPr>
          <w:rFonts w:ascii="Times New Roman" w:hAnsi="Times New Roman"/>
          <w:i/>
          <w:color w:val="000000"/>
          <w:sz w:val="20"/>
        </w:rPr>
        <w:t>Net Cash Flows from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investing activities for the six months ended June 30, 2026 was $239.7 million, which consisted of $79.6 million in cash inflows from maturities and sales of marketable securities, offset by cash outflows of $319.2 million from purchases of marketable securities and $0.1 million in purchases of property and equipment. The proceeds from the de-SPAC Transaction were primarily invested in cash equivalents and short-term marketable securities as of December 31, 2025, but were reallocated to investments in short and long-term marketable securities as of June 30, 2026. This resulted in significant cash flows from investing activities for the six months ended June 30, 2026 as a result of purchases of marketable securities.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Net cash provided by investing activities for the six months ended June 30, 2025, was $25.0 million, which consisted of $83.8 million in cash inflows from maturities of marketable securities, offset by $58.4 million in cash outflows from purchases of marketable securities and $0.4 million in purchases of property and equipment.</w:t>
      </w:r>
    </w:p>
    <w:p>
      <w:pPr>
        <w:pStyle w:val="TextBody"/>
        <w:bidi w:val="0"/>
        <w:spacing w:before="200" w:after="283"/>
        <w:jc w:val="both"/>
        <w:rPr>
          <w:rFonts w:ascii="Times New Roman" w:hAnsi="Times New Roman"/>
          <w:i/>
          <w:color w:val="000000"/>
          <w:sz w:val="20"/>
        </w:rPr>
      </w:pPr>
      <w:bookmarkStart w:id="72" w:name="net_cash_flows_from_financing_activities"/>
      <w:bookmarkEnd w:id="72"/>
      <w:r>
        <w:rPr>
          <w:rFonts w:ascii="Times New Roman" w:hAnsi="Times New Roman"/>
          <w:i/>
          <w:color w:val="000000"/>
          <w:sz w:val="20"/>
        </w:rPr>
        <w:t>Net Cash Flows from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of $0.3 million for the six months ended June 30, 2026 included $0.5 million in proceeds from option exercises, offset by $0.1 million in payments of deferred transaction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financing activities of $18.6 million for the six months ended June 30, 2025 which included $22.2 million in proceeds from issuance of Series B redeemable convertible preferred stock, net of issuance costs, offset by $3.7 million in payments of deferred transaction costs.</w:t>
      </w:r>
    </w:p>
    <w:p>
      <w:pPr>
        <w:pStyle w:val="TextBody"/>
        <w:bidi w:val="0"/>
        <w:spacing w:before="200" w:after="283"/>
        <w:jc w:val="both"/>
        <w:rPr>
          <w:rFonts w:ascii="Times New Roman" w:hAnsi="Times New Roman"/>
          <w:sz w:val="20"/>
        </w:rPr>
      </w:pPr>
      <w:bookmarkStart w:id="73" w:name="future_funding_requirements"/>
      <w:bookmarkEnd w:id="73"/>
      <w:r>
        <w:rPr>
          <w:rFonts w:ascii="Times New Roman" w:hAnsi="Times New Roman"/>
          <w:b/>
          <w:i/>
          <w:color w:val="000000"/>
          <w:sz w:val="20"/>
        </w:rPr>
        <w:t>Future Funding</w:t>
      </w:r>
      <w:r>
        <w:rPr>
          <w:rFonts w:ascii="Times New Roman" w:hAnsi="Times New Roman"/>
          <w:color w:val="000000"/>
          <w:sz w:val="20"/>
        </w:rPr>
        <w:t xml:space="preserve"> </w:t>
      </w:r>
      <w:r>
        <w:rPr>
          <w:rFonts w:ascii="Times New Roman" w:hAnsi="Times New Roman"/>
          <w:b/>
          <w:i/>
          <w:color w:val="000000"/>
          <w:sz w:val="20"/>
        </w:rPr>
        <w:t>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not generate revenue from product sales unless we complete clinical development and obtain regulatory approval for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the de-SPAC Transaction, we expect to incur additional costs associated with operating as a public company. In the future,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strategic alliances, and marketing, distribution,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that limit or restrict our ability to take specific actions, such as incurring debt, making capital expenditures, or declaring dividends. Furthermore, we may be unable to raise additional funds or enter into other agreements or arrangements on favorable terms or at all when needed. If we fail to raise capital or enter into such agreements, as and when needed, we may have to significantly delay, scale back, or discontinue the development and commercialization of one or more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numerous risks and uncertainties associated with the research, development, and commercialization of pharmaceutical products, we are unable to accurately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achievement of preclinical and clinical milestones;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Continuing our research and drug discovery and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preclinical and clinical trials for our current product candidates and additional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 sales, marketing, and distribution infrastructure to commercialize any product candidates for which we may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and maintaining manufacturing and supply chain capacity sufficient to provide adequate supplies of our product candidates to support our ongoing and planned clinical trials and commercial quantities of any product candidates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expanding, and protecting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Acquiring or in-licensing other product candidates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Continuing to discover and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Hiring additional personnel to support our product candidate development efforts to obtain regulatory approval and securing additional facilities for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as a public company following the de-SPAC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numerous risks and uncertainties associated with the development of our product candidates,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the planned levels and be forced to reduce or terminate our operations.</w:t>
      </w:r>
    </w:p>
    <w:p>
      <w:pPr>
        <w:pStyle w:val="TextBody"/>
        <w:bidi w:val="0"/>
        <w:spacing w:before="200" w:after="283"/>
        <w:jc w:val="both"/>
        <w:rPr>
          <w:rFonts w:ascii="Times New Roman" w:hAnsi="Times New Roman"/>
          <w:b/>
          <w:i/>
          <w:color w:val="000000"/>
          <w:sz w:val="20"/>
        </w:rPr>
      </w:pPr>
      <w:bookmarkStart w:id="74" w:name="in_licensing_and_collaboration_agree"/>
      <w:bookmarkEnd w:id="74"/>
      <w:r>
        <w:rPr>
          <w:rFonts w:ascii="Times New Roman" w:hAnsi="Times New Roman"/>
          <w:b/>
          <w:i/>
          <w:color w:val="000000"/>
          <w:sz w:val="20"/>
        </w:rPr>
        <w:t>In-Licensing and Collaboration Agreements</w:t>
      </w:r>
    </w:p>
    <w:p>
      <w:pPr>
        <w:pStyle w:val="TextBody"/>
        <w:bidi w:val="0"/>
        <w:spacing w:before="200" w:after="283"/>
        <w:jc w:val="both"/>
        <w:rPr>
          <w:rFonts w:ascii="Times New Roman" w:hAnsi="Times New Roman"/>
          <w:sz w:val="20"/>
        </w:rPr>
      </w:pPr>
      <w:bookmarkStart w:id="75" w:name="the_regents_of_the_university_of_cali"/>
      <w:bookmarkEnd w:id="75"/>
      <w:r>
        <w:rPr>
          <w:rFonts w:ascii="Times New Roman" w:hAnsi="Times New Roman"/>
          <w:i/>
          <w:color w:val="000000"/>
          <w:sz w:val="20"/>
        </w:rPr>
        <w:t>The Regents of the University</w:t>
      </w:r>
      <w:r>
        <w:rPr>
          <w:rFonts w:ascii="Times New Roman" w:hAnsi="Times New Roman"/>
          <w:color w:val="000000"/>
          <w:sz w:val="20"/>
        </w:rPr>
        <w:t xml:space="preserve"> </w:t>
      </w:r>
      <w:r>
        <w:rPr>
          <w:rFonts w:ascii="Times New Roman" w:hAnsi="Times New Roman"/>
          <w:i/>
          <w:color w:val="000000"/>
          <w:sz w:val="20"/>
        </w:rPr>
        <w:t>of California License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2016, we entered into a license agreement with UCSF and were granted certain worldwide exclusive licenses to use the licensed compounds (the “UCSF License”). The UCSF License was subsequently amended and was terminated in June 2021.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UCSF License, UCSF received the right, but not an obligation, to purchase up to 10% of the securities in any offering on the same terms as other investors, which survived the termination of the UCSF License (“Participation Right”). Because UCSF was not notified of the Legacy BBOT Series B Financing at the time it was completed in 2024, the Participation Right was extended through March 29, 2025. As a result, UCSF received the right to purchase up to 2,509,446 shares of Series B at the original issue price of $8.8554 per share. In April 2025, we settled the Participation Right in full by issuing 2,509,446 Series B shares for cash proceeds of $22.2 million, and it was no longer outstanding as of December 31, 2025.</w:t>
      </w:r>
    </w:p>
    <w:p>
      <w:pPr>
        <w:pStyle w:val="TextBody"/>
        <w:bidi w:val="0"/>
        <w:spacing w:before="200" w:after="283"/>
        <w:jc w:val="both"/>
        <w:rPr>
          <w:rFonts w:ascii="Times New Roman" w:hAnsi="Times New Roman"/>
          <w:i/>
          <w:color w:val="000000"/>
          <w:sz w:val="20"/>
        </w:rPr>
      </w:pPr>
      <w:bookmarkStart w:id="76" w:name="leidos_biomedical_research_license_mda2"/>
      <w:bookmarkEnd w:id="76"/>
      <w:r>
        <w:rPr>
          <w:rFonts w:ascii="Times New Roman" w:hAnsi="Times New Roman"/>
          <w:i/>
          <w:color w:val="000000"/>
          <w:sz w:val="20"/>
        </w:rPr>
        <w:t>Leidos Biomedical Research License and Cooperative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2017, we entered into a cooperative research and development agreement (“Leidos CRADA”) with Leidos Biomedical Research, Inc. (“Leidos”). In December 2018, we entered into a license agreement (“Initial Leidos License”), under which we were granted certain worldwide exclusive licenses to use the licensed compounds related to its drug discovery and development initiatives. The Initial Leidos License was terminated in 2021. We subsequently entered into three additional license agreements with Leidos (“Additional Leidos Licenses”), including two related to KRAS G12C inhibitor and P13Ka breaker compounds that were executed in August 2022, and one related to the PanKRAS inhibitor executed in December 2023. The Leidos CRADA, the Initial Leidos License, and the Additional Leidos Licenses are referred to as the “Leidos Agreements.” In December 2025, we executed an amendment to extend the expiration date of the Leidos CRADA by nine months to September 2026. In December 2025, the Leidos Agreements were amended to introduce an additional $1.5 million in contribution funding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Additional Leidos Licenses, we incurred initial upfront fees of $1.8 million and we are required to pay Leidos certain annual license maintenance fees and royalties on net sales for such licensed compounds. As of June 30, 2026, we are obligated to make contingent milestone payments totaling up to $25.9 million upon the achievement of certain clinical and regulatory milestones.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we recorded a $0.5 million liability for milestones that had been achieved but remained unpaid, which was included in accrued research and development liabilities in the consolidated balance sheets. In connection with our arrangements with Leidos, we recognized research and development expenses of $0.7 million and $1.3 million for the three months ended June 30, 2026 and 2025, respectively, and $1.4 million and $2.2 million for the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i/>
          <w:color w:val="000000"/>
          <w:sz w:val="20"/>
        </w:rPr>
      </w:pPr>
      <w:bookmarkStart w:id="77" w:name="lawrence_livermore_national_sec"/>
      <w:bookmarkEnd w:id="77"/>
      <w:r>
        <w:rPr>
          <w:rFonts w:ascii="Times New Roman" w:hAnsi="Times New Roman"/>
          <w:i/>
          <w:color w:val="000000"/>
          <w:sz w:val="20"/>
        </w:rPr>
        <w:t>Lawrence Livermore National Security License and Cooperative Research and Development Agreements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May 2018, we entered into a cooperative research and development agreement (“LLNS CRADA”) with Lawrence Livermore National Security, LLC (“LLNS”) to bring new knowledge and therapeutic possibilities to KRAS drug discovery utilizing LLNS’ high-performance computing machines. We executed five subsequent amendments to the LLNS CRADA between December 2019 and November 2025 to clarify the scope and provide for term extensions. In July 2022, BBOT entered into an exclusive patent license agreement for KRAS G12C inhibitors and an exclusive patent license agreement for PI3Kα breaker compounds. In December 2024, BBOT entered into an exclusive license agreement with LLNS for research and development of Pan KRAS inhibitor for oncology indications. In July 2025, we entered into an exclusive license agreement with LLNS for research and development of Pan KRAS inhibitor for non-oncology indications. These four agreements are collectively referred to as the LLNS Agreements. In November 2025, we executed three separate amendments to the existing agreements for Pan KRAS inhibitors, PI3Kα breakers, and KRAS G12C inhibitors. These amendments were made to include new patent applications within the scope of patent rights. In November 2025, we executed an amendment to extend the LLNS CRADA expiration date by six months to June 2026. In January 2026, we executed an amendment with LLNS to extend the CRADA expiration date another twelve months until June 2027 and included additional estimated funding contributions of $5.0 million to be paid by us over the remaining term.</w:t>
      </w:r>
    </w:p>
    <w:p>
      <w:pPr>
        <w:pStyle w:val="TextBody"/>
        <w:bidi w:val="0"/>
        <w:jc w:val="both"/>
        <w:rPr>
          <w:rFonts w:ascii="Times New Roman" w:hAnsi="Times New Roman"/>
          <w:color w:val="000000"/>
          <w:sz w:val="20"/>
        </w:rPr>
      </w:pPr>
      <w:r>
        <w:rPr>
          <w:rFonts w:ascii="Times New Roman" w:hAnsi="Times New Roman"/>
          <w:color w:val="000000"/>
          <w:sz w:val="20"/>
        </w:rPr>
        <w:t xml:space="preserve">Upon execution of the LLNS Agreements, we paid an initial upfront cash fee of $0.2 million. In addition, under the terms of the LLNS Agreements, we are required to pay LLNS certain annual license maintenance fees and royalties to LLNS on net sales for such licensed compounds. As of June 30, 2026, we are required to make contingent milestone payments totaling up to $21.8 million upon the achievement of certain clinical, regulatory, and sales milestones.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no milestones had been achieved but not paid and therefore no liabilities associated with LLNS were recorded as of June 30, 2026 or December 31, 2025 on the condensed consolidated balance sheets. In connection with our arrangements with LLNS, we recognized research and development expenses of $0.3 million for the six months ended June 30, 2025. We did not recognize material research and development expenses for the three or six months ended June 30, 2026 or the three months ended June 30,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did not have any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pStyle w:val="Heading2"/>
        <w:bidi w:val="0"/>
        <w:spacing w:before="200" w:after="283"/>
        <w:jc w:val="both"/>
        <w:rPr>
          <w:rFonts w:ascii="Times New Roman" w:hAnsi="Times New Roman"/>
          <w:color w:val="000000"/>
          <w:sz w:val="20"/>
        </w:rPr>
      </w:pPr>
      <w:bookmarkStart w:id="78" w:name="critical_accounting_estimates"/>
      <w:bookmarkEnd w:id="78"/>
      <w:r>
        <w:rPr>
          <w:rFonts w:ascii="Times New Roman" w:hAnsi="Times New Roman"/>
          <w:color w:val="000000"/>
          <w:sz w:val="20"/>
        </w:rPr>
        <w:t>Critical Accounting Policies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U.S. GAAP. The preparation of these condensed financial statements requires us to make estimates and assumptions that affect the reported amounts of assets, liabilities, and the disclosure of contingent assets and liabilities as of the date of the financial statements, as well as revenues, if any, and expenses incurred during the reporting periods. Our estimates are based on our historical experience and various other factors that we believe are reasonable under the circumstances,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as compared to the critical accounting policies and estimates disclosed in the section titled “Management’s Discussion and Analysis of Financial Condition and Operations” included in our Annual Report on Form 10-K for the year ended December 31, 2025, as filed with the SEC, except for certain updates to our accounting policy as discussed in Note 2 of our condensed consolidated financial statements as of and for the three and six months ended June 30, 2026.</w:t>
      </w:r>
    </w:p>
    <w:p>
      <w:pPr>
        <w:pStyle w:val="Heading2"/>
        <w:bidi w:val="0"/>
        <w:spacing w:before="200" w:after="283"/>
        <w:jc w:val="both"/>
        <w:rPr>
          <w:rFonts w:ascii="Times New Roman" w:hAnsi="Times New Roman"/>
          <w:color w:val="000000"/>
          <w:sz w:val="20"/>
        </w:rPr>
      </w:pPr>
      <w:bookmarkStart w:id="79" w:name="recent_accounting_pronouncements"/>
      <w:bookmarkEnd w:id="79"/>
      <w:r>
        <w:rPr>
          <w:rFonts w:ascii="Times New Roman" w:hAnsi="Times New Roman"/>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2, “Summary of significant accounting policies” to our condensed consolidated financial statements, which are included in this Quarterly Report, for more information.</w:t>
      </w:r>
    </w:p>
    <w:p>
      <w:pPr>
        <w:pStyle w:val="TextBody"/>
        <w:bidi w:val="0"/>
        <w:spacing w:before="200" w:after="283"/>
        <w:jc w:val="both"/>
        <w:rPr>
          <w:rFonts w:ascii="Times New Roman" w:hAnsi="Times New Roman"/>
          <w:b/>
          <w:color w:val="000000"/>
          <w:sz w:val="20"/>
        </w:rPr>
      </w:pPr>
      <w:bookmarkStart w:id="80" w:name="item_3_quantitative_and_qualitative"/>
      <w:bookmarkEnd w:id="8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sz w:val="20"/>
        </w:rPr>
      </w:pPr>
      <w:r>
        <w:rPr>
          <w:rFonts w:ascii="Times New Roman" w:hAnsi="Times New Roman"/>
          <w:color w:val="231F20"/>
          <w:sz w:val="20"/>
        </w:rPr>
        <w:t>We are a smaller reporting company, as defined by Rule 12b-2 under the Securities and Exchange Act of 1934, as amended (</w:t>
      </w:r>
      <w:r>
        <w:rPr>
          <w:rFonts w:ascii="Times New Roman" w:hAnsi="Times New Roman"/>
          <w:color w:val="000000"/>
          <w:sz w:val="20"/>
        </w:rPr>
        <w:t>“</w:t>
      </w:r>
      <w:r>
        <w:rPr>
          <w:rFonts w:ascii="Times New Roman" w:hAnsi="Times New Roman"/>
          <w:color w:val="231F20"/>
          <w:sz w:val="20"/>
        </w:rPr>
        <w:t>Exchange Act</w:t>
      </w:r>
      <w:r>
        <w:rPr>
          <w:rFonts w:ascii="Times New Roman" w:hAnsi="Times New Roman"/>
          <w:color w:val="000000"/>
          <w:sz w:val="20"/>
        </w:rPr>
        <w:t>”</w:t>
      </w:r>
      <w:r>
        <w:rPr>
          <w:rFonts w:ascii="Times New Roman" w:hAnsi="Times New Roman"/>
          <w:color w:val="231F20"/>
          <w:sz w:val="20"/>
        </w:rPr>
        <w:t>), and are not required to provide the information under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color w:val="000000"/>
          <w:sz w:val="20"/>
        </w:rPr>
      </w:pPr>
      <w:bookmarkStart w:id="81" w:name="item_4_controls_and_procedures"/>
      <w:bookmarkEnd w:id="81"/>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(who serves as our principal executive officer), and our Chief Operating Officer (who serves as our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evaluated the effectiveness of our disclosure controls and procedures as of June 30, 2026 and, based on this evaluation, concluded that our internal control over financial reporting (as defined in Rules 13a-15(f) and 15d-15(f) under the Exchange Act) was effective as of June 30, 2026.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 13a-15(f) of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rPr>
      </w:pPr>
      <w:bookmarkStart w:id="82" w:name="part_ii_other_information"/>
      <w:bookmarkEnd w:id="82"/>
      <w:r>
        <w:rPr>
          <w:rFonts w:ascii="Times New Roman" w:hAnsi="Times New Roman"/>
          <w:b/>
          <w:color w:val="000000"/>
          <w:sz w:val="20"/>
        </w:rPr>
        <w:t>PART II—OTHER INFORMATION</w:t>
      </w:r>
    </w:p>
    <w:p>
      <w:pPr>
        <w:pStyle w:val="TextBody"/>
        <w:bidi w:val="0"/>
        <w:spacing w:before="200" w:after="283"/>
        <w:jc w:val="both"/>
        <w:rPr>
          <w:rFonts w:ascii="Times New Roman" w:hAnsi="Times New Roman"/>
          <w:b/>
          <w:color w:val="000000"/>
          <w:sz w:val="20"/>
        </w:rPr>
      </w:pPr>
      <w:bookmarkStart w:id="83" w:name="legal_proceedings"/>
      <w:bookmarkEnd w:id="83"/>
      <w:r>
        <w:rPr>
          <w:rFonts w:ascii="Times New Roman" w:hAnsi="Times New Roman"/>
          <w:b/>
          <w:color w:val="000000"/>
          <w:sz w:val="20"/>
        </w:rPr>
        <w:t>Item 1. 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as discussed below, as of the date of this Form 10-Q, we are not currently a party to any material legal proceedings. From time to time, in the ordinary course of business, we may become involved in legal proceedings. Regardless of the outcome, litigation could have a material adverse effect on us due to defense and settlement costs, diversion of management resources, negative publicity, reputational harm, and other factors, and there can be no assurances that favorable outcomes will be obtained.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September 2016, we entered into the UCSF License Agreement with The Regents of the University of California, San Francisco for an exclusive license to certain compounds. Although the UCSF License Agreement was terminated in June 2021, certain of its terms survived, including one calling for a payment that would become due to UCSF upon the occurrence of a change of control or an initial public offering, as those events are contractually defined in the UCSF License Agreement (the “Indexed Milestone Payment”). In April 2025, UCSF sent an email, followed by a letter dated June 16, 2025, stating that, in the future, the Indexed Milestone Payment in an amount less than $5.0 million will become due on an unspecified date following the Closing Date of the Business Combination Agreement. We disagree with UCSF’s interpretation of the terminated UCSF License Agreement and believe that no such payment will be due now or in the future.</w:t>
      </w:r>
    </w:p>
    <w:p>
      <w:pPr>
        <w:pStyle w:val="TextBody"/>
        <w:bidi w:val="0"/>
        <w:spacing w:before="200" w:after="283"/>
        <w:jc w:val="both"/>
        <w:rPr>
          <w:rFonts w:ascii="Times New Roman" w:hAnsi="Times New Roman"/>
          <w:b/>
          <w:color w:val="000000"/>
          <w:sz w:val="20"/>
        </w:rPr>
      </w:pPr>
      <w:bookmarkStart w:id="84" w:name="risk_factors"/>
      <w:bookmarkEnd w:id="84"/>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231F20"/>
          <w:sz w:val="20"/>
        </w:rPr>
      </w:pPr>
      <w:r>
        <w:rPr>
          <w:rFonts w:ascii="Times New Roman" w:hAnsi="Times New Roman"/>
          <w:color w:val="231F20"/>
          <w:sz w:val="20"/>
        </w:rPr>
        <w:t>Investing in our common stock involves a high degree of risk. You should carefully read and consider all of the risks described below, as well as the other information in this Form 10-Q, including our financial statements and the related notes and the section titled “Management’s Discussion and Analysis of Financial Condition and Results of Operations,” and in other documents we file with the SEC when evaluating our business.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The risks described below are not intended to be exhaustive and are not the only risks that we face. Additional risks and uncertainties not presently known to us or that we currently deem immaterial also may impair our business operations and the market price of our common stock.</w:t>
      </w:r>
    </w:p>
    <w:p>
      <w:pPr>
        <w:pStyle w:val="TextBody"/>
        <w:bidi w:val="0"/>
        <w:jc w:val="both"/>
        <w:rPr/>
      </w:pPr>
      <w:r>
        <w:rPr/>
        <w:t> </w:t>
      </w:r>
    </w:p>
    <w:p>
      <w:pPr>
        <w:pStyle w:val="TextBody"/>
        <w:bidi w:val="0"/>
        <w:jc w:val="both"/>
        <w:rPr>
          <w:rFonts w:ascii="Times New Roman" w:hAnsi="Times New Roman"/>
          <w:b/>
          <w:color w:val="231F20"/>
          <w:sz w:val="20"/>
        </w:rPr>
      </w:pPr>
      <w:r>
        <w:rPr>
          <w:rFonts w:ascii="Times New Roman" w:hAnsi="Times New Roman"/>
          <w:b/>
          <w:color w:val="231F20"/>
          <w:sz w:val="20"/>
        </w:rPr>
        <w:t>Summary of Risk Factors</w:t>
      </w:r>
    </w:p>
    <w:p>
      <w:pPr>
        <w:pStyle w:val="TextBody"/>
        <w:bidi w:val="0"/>
        <w:jc w:val="both"/>
        <w:rPr/>
      </w:pPr>
      <w:r>
        <w:rPr/>
        <w:t> </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have a limited operating history, have not completed any clinical trials, have no products approved for commercial sale and have not generated any revenue, which may make it difficult for investors to evaluate our current business and likelihood of success and viability.</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Our ability to generate revenue and achieve profitability depends significantly on our ability to achieve our objectives relating to the discovery, development and commercialization of our product candidates.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may require additional capital to finance our operations. If we are unable to raise such capital when needed, or on acceptable terms, we may be forced to delay, reduce or eliminate one or more of our research and drug development programs, future commercialization efforts, product development or other operations.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Our preclinical studies and clinical trials may fail to adequately demonstrate the safety and efficacy of any of our product candidates, which would prevent or delay development, regulatory approval and commercialization.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Any delays in the commencement or completion, or any termination or suspension, of our current, planned or future clinical trials could result in increased costs, delay or limit our ability to generate revenue and adversely affect our commercial prospects.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Our product candidates may cause significant adverse events, toxicities or other undesirable adverse events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pStyle w:val="TextBody"/>
        <w:bidi w:val="0"/>
        <w:spacing w:before="0" w:after="0"/>
        <w:jc w:val="both"/>
        <w:rPr>
          <w:color w:val="231F20"/>
        </w:rPr>
      </w:pPr>
      <w:r>
        <w:rPr>
          <w:color w:val="231F20"/>
        </w:rPr>
        <w:t>•</w:t>
      </w:r>
    </w:p>
    <w:p>
      <w:pPr>
        <w:pStyle w:val="TextBody"/>
        <w:bidi w:val="0"/>
        <w:jc w:val="both"/>
        <w:rPr>
          <w:rFonts w:ascii="Times New Roman" w:hAnsi="Times New Roman"/>
          <w:color w:val="231F20"/>
          <w:sz w:val="20"/>
        </w:rPr>
      </w:pPr>
      <w:r>
        <w:rPr>
          <w:rFonts w:ascii="Times New Roman" w:hAnsi="Times New Roman"/>
          <w:color w:val="231F20"/>
          <w:sz w:val="20"/>
        </w:rPr>
        <w:t>We currently rely on third parties to supply and manufacture preclinical and clinical drug supplies, and we intend to rely on third parties to produce commercial supplies of any approved product, which increases the risk that we will not have sufficient quantities of these product candidates or products or such quantities at an acceptable cost, which could delay, prevent or impair our development or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face substantial competition which may result in others discovering, developing or commercializing products before or more successfully than we do.</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Any product candidates we develop may become subject to unfavorable third-party coverage and reimbursement practices, as well as pricing regulations.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Our business entails a significant risk of product liability and if we are unable to obtain sufficient insurance coverage such inability could have an adverse effect on our business and financial condition.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may seek certain designations for our product candidates, including Breakthrough Therapy, Fast Track and Priority Review in the U.S., and PRIME (priority medicines) in the EU, but we might not receive such designations, and even if we do, such designations may not lead to a faster development or regulatory review or approval process.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are or may become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Our success is highly dependent on our ability to attract, hire and retain highly skilled executive officers and employees, and we may experience difficulties in managing the future growth of our organization.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If we are unable to obtain, maintain and enforce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Patent terms may not protect our competitive position for an adequate amount of time.</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may become involved in lawsuits to protect or enforce our patent or other intellectual property rights, which could be expensive, time-consuming and unsuccessful.</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rely on third parties to conduct our preclinical studies and clinical trials, and those third parties may not perform satisfactorily, including failing to meet deadlines for the completion of such trials, research and studies.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There may not be an active trading market for our common stock, which may make it difficult to sell shares of our common stock.</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Future sales, or the perception of future sales, by us or our stockholders in the public market could cause the market price for our securities to decline.</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have in the past identified a material weakness in our internal controls over financial reporting. If we identify additional material weaknesses in the future or otherwise fails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have increased costs as a result of operating as a public company, and our management devotes substantial time to related compliance initiatives.</w:t>
      </w:r>
    </w:p>
    <w:p>
      <w:pPr>
        <w:pStyle w:val="TextBody"/>
        <w:bidi w:val="0"/>
        <w:spacing w:before="0" w:after="0"/>
        <w:jc w:val="both"/>
        <w:rPr>
          <w:color w:val="231F20"/>
        </w:rPr>
      </w:pPr>
      <w:r>
        <w:rPr>
          <w:color w:val="231F20"/>
        </w:rPr>
        <w:t>•</w:t>
      </w:r>
    </w:p>
    <w:p>
      <w:pPr>
        <w:pStyle w:val="TextBody"/>
        <w:bidi w:val="0"/>
        <w:jc w:val="both"/>
        <w:rPr>
          <w:rFonts w:ascii="Times New Roman" w:hAnsi="Times New Roman"/>
          <w:color w:val="231F20"/>
          <w:sz w:val="20"/>
        </w:rPr>
      </w:pPr>
      <w:r>
        <w:rPr>
          <w:rFonts w:ascii="Times New Roman" w:hAnsi="Times New Roman"/>
          <w:color w:val="231F20"/>
          <w:sz w:val="20"/>
        </w:rPr>
        <w:t>We are currently in a period of economic uncertainty and capital markets disruption, which has been significantly impacted by changes in regulatory activities and economic policies and events related to the current U.S. presidential administration, ongoing military conflicts and geopolitical instability and inflation and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rFonts w:ascii="Times New Roman" w:hAnsi="Times New Roman"/>
          <w:b/>
          <w:color w:val="231F20"/>
          <w:sz w:val="20"/>
        </w:rPr>
      </w:pPr>
      <w:r>
        <w:rPr>
          <w:rFonts w:ascii="Times New Roman" w:hAnsi="Times New Roman"/>
          <w:b/>
          <w:color w:val="231F20"/>
          <w:sz w:val="20"/>
        </w:rPr>
        <w:t>Risks Related to our Financial Position and Need for Additional Capital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a limited operating history, have not completed any clinical trials, have no products approved for commercial sale and have not generated any revenue, which may make it difficult for investors to evaluate our current business and likelihood of success and viability.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biopharmaceutical company with a limited operating history upon which investors can evaluate our business and prospects. We were incorporated in August 2016 and commenced significant operations as an independent entity starting in May 2024, have never completed a clinical trial, have no products approved for commercial sale and have never generated any revenue. Drug development is a highly uncertain undertaking and involves a substantial degree of risk. To date, we have devoted substantially all of our resources to research and development activities, including with respect to BBO-8520, BBO-10203 and BBO-11818, and our discovery programs, business planning, establishing and maintaining our intellectual property portfolio, hiring personnel, raising capital and providing general and administrative support for these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not yet demonstrated our ability to successfully complete clinical trials, obtain marketing approvals, manufacture a commercial-scale product or arrange for a third party to do so on our behalf, or conduct sales and marketing activities necessary for successful product commercialization. As a result, it may be more difficult for investors to evaluate our likelihood of success and viability.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known and unknown factors and risks frequently experienced by biopharmaceutical companies at our stage of development in rapidly evolving fields. We also expect that, as we advance our product candidates, we will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incurred significant net losses in each period since our inception, and expect to continue to incur significant net losses for the foreseeable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revenue to date and have financed our operations principally through private placements of securities. Our net losses were $98.6 million and $50.5 million for the six months ended June 30, 2026 and 2025, respectively, and $134.0 million for the year ended December 31, 2025. As of June 30, 2026, we had an accumulated deficit of $455.1 million. We have not yet completed any clinical trials. As a result, we expect that it will be several years, if ever, before we generate revenue from product sales. Even if we succeed in receiving marketing approval for and commercializing one or more product candidates, we expect that we will continue to incur substantial research and development and other expenses in order to discover, develop and market additional potential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continue to incur significant and increasing expenses and increasing operating losses for the foreseeable future. The net losses we incur may fluctuate significantly from quarter to quarter such that a period-to-period comparison of our results of operations may not be a good indication of future performance. The size of future net losses will depend, in part, on the pace of development activities and the rate of future growth of expenses and our ability to generate revenue. Our prior losses and expected future losses have had and will continue to have an adverse effect on working capital, our ability to fund the development of our product candidates and our ability to achieve and maintain profitability and the performance of our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ability to generate revenue and achieve profitability depends significantly on our ability to achieve our objectives relating to the discovery, development and commercialization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our team’s expertise in chemistry, structure-based drug design, oncology drug development, business development and patient-driven approach to develop our product candidates. Our business depends significantly on the success of our approach and the development and commercialization of the product candidates that we discover with this approach. We have no products approved for commercial sale and do not anticipate generating any revenue from product sales for the next several years, if ever. Our ability to generate revenue and achieve profitability depends significantly on our ability to achieve several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completion of preclinical and clinical development of BBO-8520, BBO-10203, BBO-11818 and any future product candidates from our discovery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current and establishing new relationships with contract research organizations (“CROs”) and clinical sites for the clinical development of BBO-8520, BBO-10203, BBO-11818 and any future product candidates from our current or future discovery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receipt of marketing approvals from applicable regulatory authorities for any product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an efficient and scalable manufacturing process for our product candidates, including the production of finished products that are appropriately packaged for sale if our product candidates obtain marketing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current and establishing new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 acceptable safety profile following any marketing approval of our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commercial acceptance of our product candidates by patients, the medical community and third- party payors, including the willingness of physicians to use our product candidates, if approved, in lieu of (or in conjunction with) other approved therapies;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satisfying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assessing and developing new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maintaining and expanding patent protection, trade secret protection and regulatory exclusivity, both in the U.S.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defending against third-party interference or infringement claims, if any, with respect to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entering into, on favorable terms, any collaboration, licensing or other arrangements that may be necessary or desirable to develop, manufacture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coverage and adequate reimbursement by third-party payors for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attracting, hiring and retaining qualified personnel.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maintain or further our research and development efforts, raise additional necessary capital, grow our business and continue our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require additional capital to finance our operations. If we are unable to raise such capital when needed, or on acceptable terms, we may be forced to delay, reduce or eliminate one or more of our research and drug development programs, future commercialization efforts, product development or other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inception, we have used substantial amounts of cash to fund our operations, and our expenses will increase substantially in the foreseeable future in connection with our ongoing activities, particularly as we continue the research and development of, initiate additional clinical trials of, and seek marketing approval for, our product candidates. Developing pharmaceutical products, including conducting preclinical studies and clinical trials, is a very time-consuming, expensive and uncertain process that takes years to complete. Even if one or more of our product candidates or any future product candidates that our develops are approved for commercial sale, we anticipate incurring significant costs associated with sales, marketing, manufacturing and distribution activities. Our expenses could increase beyond expectations if we are required by the FDA, the EMA or other regulatory authorities to perform clinical trials or preclinical studies in addition to those that we currently anticipate. Other unanticipated costs may also arise. Because the design and outcome of our clinical trials, including our planned and anticipated clinical trials, are highly uncertain, we cannot reasonably estimate the actual amount of resources and funding that will be necessary to successfully complete the development and commercialization of our product candidates or any future product candidates that we develop. We are currently conducting Phase 1 clinical trials of BBO-8520, BBO-10203 and BBO-11818. We are not permitted to market or promote any product candidate before it receives marketing approval from the FDA, EMA or any comparable foreign regulatory authorities. We are also incurring additional costs associated with operating as a public company. Accordingly, we may need to obtain additional funding in order to continue our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estimate that our existing cash, cash equivalents, short-term marketable securities, and long-term marketable securities as of the date of this report will be sufficient to enable us to fund our operating expenses and capital expenditure requirements into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Advancing the development of BBO-8520, BBO-10203 and BBO-11818 and our discovery programs will require a significant amount of capital. Our existing cash, cash equivalents and marketable securities will not be sufficient to fund all of our product candidates through regulatory approval, and we may need to raise additional capital to complete the development and commercialization of our product candidates. our estimate as to how long it expects our existing cash, cash equivalents and marketable securities to fund our operations does not include potential product revenue and is based on assumptions that may prove to be wrong, and we could use our available capital resources sooner than currently expected. Changing circumstances, some of which may be beyond our control, could cause us to consume capital significantly faster than currently anticipated, and we may need to seek additional funds.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Our ability to raise additional funds may be adversely impacted by general economic conditions, both inside and outside the U.S., including disruptions to, and instability and volatility in, the credit and financial markets in the U.S. and worldwide, including heightened inflation, interest rate and currency rate fluctuations, and economic slowdown or recession as well as concerns related to public health emergencies, natural disasters or geopolitical events, including civil or political unrest or military conflicts. In addition, market instability and volatility, high levels of inflation and interest rate fluctuations may increase our cost of financing or restrict our access to potential sources of future liquidity.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pStyle w:val="TextBody"/>
        <w:bidi w:val="0"/>
        <w:jc w:val="both"/>
        <w:rPr/>
      </w:pPr>
      <w:r>
        <w:rPr/>
        <w:t> </w:t>
      </w:r>
    </w:p>
    <w:p>
      <w:pPr>
        <w:pStyle w:val="TextBody"/>
        <w:bidi w:val="0"/>
        <w:jc w:val="both"/>
        <w:rPr>
          <w:rFonts w:ascii="Times New Roman" w:hAnsi="Times New Roman"/>
          <w:b/>
          <w:color w:val="231F20"/>
          <w:sz w:val="20"/>
        </w:rPr>
      </w:pPr>
      <w:r>
        <w:rPr>
          <w:rFonts w:ascii="Times New Roman" w:hAnsi="Times New Roman"/>
          <w:b/>
          <w:color w:val="231F20"/>
          <w:sz w:val="20"/>
        </w:rPr>
        <w:t>Risks Related to Our Product Development, Regulatory Approval and Commercialization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future prospects are substantially dependent on the advancement of our product candidates. If we are unable to advance our product candidates through development, obtain regulatory approval and ultimately commercialize such product candidates, or experience significant delays in doing so, our business will be materially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currently conducting Phase 1 clinical trials of BBO-8520, BBO-10203 and BBO-11818. Our ability to generate product revenue, which we do not expect will occur for many years, if ever, will depend heavily on the successful clinical development and eventual commercialization of one or more product candidates. We are not permitted to market or promote any product candidate before we receive marketing approval from the FDA, EMA or any comparable foreign regulatory authorities, and we may never receive such marketing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our product candidates will depend on several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completion of preclinical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submission of INDs in the U.S. and CTAs and/or comparable applications outside the U.S. for regulatory authority review and agreement to proceed with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initiation and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patient selection and enrollment in and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and establishing relationships with CROs and clinical sites for the clinical development of our product candidates both in the U.S.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and growing an organization of scientific, medical and other professionals who can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frequency and severity of adverse events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positive data that support demonstration of efficacy, safety and tolerability profiles and durability of effect for our product candidates that are satisfactory to the FDA, EMA or any comparable foreign regulatory authority for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receipt of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identification, development and approval of companion diagnostic tests, if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of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maintenance of existing or the establishment of new supply arrangements with third-party drug product suppliers and manufacturers for clinical development and, if approved,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patent protection, trade secret protection and regulatory exclusivity, both in the U.S.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protection of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marketing and distribution capabilities and the successful launch of commercial sales of our product candidates if and when approved for marketing,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 acceptable safety profile following any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 acceptance by patients, the medical community and third-party payors, including the willingness of physicians to use our product candidates, if approved, in lieu of (or in conjunction with) other approved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with other therapies;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address any potential delays resulting from factors related to public health emergencies, natural disasters or geopolitical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have complete control over many of these factors, including certain aspects of preclinical and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any product candidates from our lead programs, which would materially harm our business. If we do not receive marketing approvals for such product candidates, we may not be able to continue our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preclinical studies and clinical trials may fail to adequately demonstrate the safety and efficacy of any of our product candidates, which would prevent or delay development, regulatory approval and commercialization.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obtaining marketing approval from the FDA, EMA or other comparable foreign regulatory authorities for the sale of our product candidates, we must demonstrate through lengthy, complex and expensive preclinical studies and clinical trials that our product candidates are both safe and effective for use in each target indication. Preclinical and clinical testing is expensive, difficult to design and implement, can take many years to complete and the ultimate outcome is uncertain. Failure can occur at any time during the preclinical study and clinical trial processes, there is a high risk of failure, and we may never succeed in developing marketable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experience numerous unforeseen events during, or as a result of, clinical trials that could delay or prevent receipt of marketing approval or our ability to commercialize our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our product candidates in preclinical studies or clinical trials to demonstrate safety and efficacy;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receipt of feedback from regulatory authorities that requires us to modify the design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inconclusive clinical trial results that may require us to conduct additional clinical trials or abandon certain research, discovery and/or drug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being larger than anticipated, enrollment in these clinical trials being slower than anticipated, particularly if there are other trials enrolling the same or overlapping precisely targeted patient populations, or participants dropping out of these clinical trials at a higher rate than anticipated;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contractors failing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suspension or termination of our clinical trials for various reasons, including non-compliance with regulatory requirements or a finding that our product candidates have undesirable adverse events or other unexpected characteristics or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of our product candidates being greater than anticipated;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being insufficient or inadequate;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revising the requirements for approving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are currently contemplating,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discovery and development activities are focused on precision oncology to treat RAS-dependent cancers, which is a rapidly evolving area of science, and the approach we are taking to discover and develop drugs may never lead to approved or marketable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discovery and development of precision oncology therapeutics for patients with RAS-dependent cancers is an emerging field, and the scientific discoveries that form the basis for our efforts to discover and develop product candidates are evolving. The scientific evidence to support the feasibility of developing product candidates based on these discoveries is both preliminary and limited. Although we believe, based on our preclinical work and clinical trials to date, that our product candidates can inhibit RAS, clinical results may not confirm this hypothesis or may only confirm it for certain tumor types. The patient populations for our product candidates are limited to those with KRAS and PI3Ka mutations and HER2 amplification and may not be completely defined but are substantially smaller than the general treated cancer population, and we will need to screen and identify these targeted patients. Successful identification of patients is dependent on several factors, including evaluation of patient biopsies and blood samples, which may require the use of companion diagnostic tests.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We do not know if our approach of focusing on treating patients with RAS-dependent cancers will be successful, and if our approach is unsuccessful, our business will suffer.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Any delays in the commencement or completion, or any termination or suspension, of our current, planned or future clinical trials could result in increased costs to us, delay or limit our ability to generate revenue and adversely affect our commercial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we can initiate clinical trials of any product candidate in any indication, we must submit the results of preclinical studies to the FDA, EMA or other comparable foreign regulatory authorities along with other information, including information about the product candidate’s chemistry, manufacturing and controls and our proposed clinical trial protocol, as part of an IND or similar regulatory submission under which we must receive authorization to proceed with clinical development. The FDA, EMA or other comparable foreign regulatory authorities may require us to conduct additional preclinical studies for any product candidate before they allow us to initiate clinical trials under any IND, CTA or comparable application which may lead to additional delays and increase the costs of our preclinical development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obtaining marketing approval from the FDA of BBO-8520, BBO-10203, BBO-11818 or of any other future product candidate in any indication, we must conduct extensive clinical studies to demonstrate safety and efficacy. Clinical testing is expensive, time consuming and uncertain as to outcome. In addition, we expect to rely in part on preclinical, clinical and quality data generated by our CROs and other third parties for regulatory submissions for our product candidates. While we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We are currently conducting Phase 1 clinical trials of BBO-8520, BBO-10203 and BBO-11818. An IND submission must become effective prior to initiating any clinical trials in the U.S. for any of our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independent institutional review board (“IRB”) or independent ethics committee (“IEC”) of the institutions in which such trials are being conducted, by a data safety monitoring board for such trial or by the FDA or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foreign regulatory authorities resulting in the imposition of a clinical hold, unforeseen safety issues or adverse events, failure to demonstrate a benefit from using a pharmaceutical,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IRBs/IECs for reexamination, which may impact the costs, timing or successful completion of a clinical trial.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Further, if we are slow or unable to adapt to changes in existing requirements or the adoption of new requirements or policies governing clinical trials, our development plans may be impacted.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our current or future scientific advisors or consultants who receive compensation from us may become investigators for our future clinical trials. Under certain circumstances, we may be required to report some of these relationships to the FDA. Although we expect any such relationships to be within the FDA’s guidelines,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 If we experience delays in the completion of, or any termination or suspension of, any clinical trial of any product candidate, the commercial prospects of such product candidate will be harmed, and our ability to generate product revenue will be delayed. Moreover, any delays in completing our clinical trials will increase our costs, slow down our development and approval process and jeopardize our ability to commence product sales and generate revenue, which may harm our business, financial condition, results of operations and prospects significantly.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required to demonstrate with substantial evidence through well-controlled clinical trials that our product candidates are safe and effective for use in the target population before we can seek marketing approvals for their commercial sale. Preclinical and clinical testing is expensive and can take many years to complete, and our outcome is inherently uncertain. Failure can occur at any time during the preclinical study and clinical trial processes; there is a high risk of failure and we may never succeed in developing marketable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preclinical studies may not be predictive of the results of clinical trials of our product candidates, and the results of early clinical trials may not be predictive of the results of later-stage clinical trials. Although product candidates may demonstrate promising results in preclinical studies and early clinical trials, they may not prove to be safe or effective in subsequent clinical trials. Favorable results from certain animal studies may not accurately predict the results of other animal studies or of human trials, due to the inherent biologic differences in species, the differences between testing conditions in animal studies and human trials, and the particular goals, purposes, and designs of the relevant studies and trials. Similarly, certain of our hypotheses regarding the potential clinical and therapeutic benefits of our product candidates compared to other approved products and product candidates or molecules in development are based on observations from the preclinical studies and early clinical trials that we have completed, and results from such preclinical studies and early clinical trials are not necessarily predictive of the results of later preclinical studies or clinical trials.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is typically an extremely high rate of attrition from the failure of product candidates proceeding through preclinical studies and clinical trials. Product candidates in later stages of clinical trials may fail to show the desired safety and efficacy profile despite having progressed through preclinical studies and initial clinical trials. Likewise, early, smaller-scale clinical trials may not be predictive of eventual safety or effectiveness in large-scale pivotal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preclinical studies and clinical trials are never approved as products. The development of our product candidates and our stock price may also be impacted by inferences, whether correct or not, that are drawn between the success or failure of preclinical studies or clinical trials of our competitors or other companies in the biopharmaceutical industry, in addition to our own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preclinical studies or clinical trials that we conduct may not demonstrate the safety and efficacy necessary to obtain regulatory approval to market our product candidates. If the results of our ongoing or future preclinical studies and clinical trials are inconclusive with respect to the safety and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know whether any clinical trials we conduct will demonstrate consistent or adequate efficacy and safety sufficient to obtain approval to market any of our product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 addition to BBO-8520, BBO-10203 and BBO-11818, our prospects depend in part upon discovering, developing and commercializing additional product candidates from our discovery programs, which may fail in development or suffer delays that adversely affect their commercial viability.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operating results are dependent on our ability to successfully discover, develop, obtain regulatory approval for and commercialize BBO-8520, BBO-10203 and BBO-11818 and future product candidates from our discovery programs. A research candidate can unexpectedly fail at any stage of development. The historical failure rate for research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success of other research candidates that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generating sufficient data to support the initiation or continuation of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contracting with the necessary parties to conduct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manufacture of sufficient quantities of a product candidate for use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events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delays resulting from factors related to public health emergencies, natural disasters or geopolitical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Even if we successfully advance any research candidates into preclinical and clinical development, their success will be subject to all of the preclinical, clinical, regulatory and commercial risks described elsewhere in this “Risk Factors” section. Accordingly, there can be no assurance that we will ever be able to discover, develop, obtain regulatory approval of, commercialize or generate significant revenue from any product candidates.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approach to the discovery and development of product candidates is unproven, and we may not be successful in our efforts to use and expand our approach to build a pipeline of product candidates with commercial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key element of our strategy, which is unproven, is to use and expand our expertise in chemistry, structure-based drug design and patient-driven approach to build a pipeline of product candidates and progress these product candidates through clinical development. Although our research and development efforts to date have resulted in the discovery of and initiation of clinical development of BBO-8520, BBO-10203 and BBO-11818, such product candidates and any other product candidates we may develop may not be determined to be safe or effective as cancer therapeutics, and we may not be able to develop any other product candidates. For example, the potential product candidates that we have identified or identifies in the future may not generate acceptable clinical data, including as a result of being shown to have unacceptable toxicity or other characteristics that indicate that they are unlikely to be product candidates that will receive marketing approval from the FDA, EMA or other regulatory authorities or achieve market acceptance. If we do not successfully develop and commercialize product candidates, we will not be able to generate product revenue in the future, which would result in significant harm to our financial position and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Leadership changes at the FDA in the current presidential administration may compound the uncertainty associated with obtaining regulatory approval. Regulatory authorities have substantial discretion in the approval process and may refuse to accept any application or may decide that our data is insufficient for approval and require additional preclinical, clinical or other data. In addition,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Even if we eventually complete clinical testing and receives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 candidate’s commercial potential. Even if approved, we may be required to conduct additional studies to or obtain,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Applications for our product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determine that our product candidates are not safe and effective, are only moderately effective or have undesirable or unintended adverse events, toxicities or other characteristics that preclude us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data of the clinical trial may fail to meet the level of statistical significance required to obtain approval of our product candidates by the FDA, EMA or other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FDA, EMA or other comparable foreign regulatory authorities that our product candidates’ risk-benefit ratios for their proposed indications are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regulatory authorities may fail to approve companion diagnostic tests required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obtain or maintain adequate funding to complete our clinical trials in a manner that is satisfactory to the FDA, EMA or other comparable foreign regulatory authorities;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EMA or other comparable foreign regulatory authorities may significantly change in a manner rendering our clinical data insufficient for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able to submit INDs, CTAs or comparable applications to commence clinical trials on the timelines we expect, and even if we are able to, the FDA, EMA or any comparable foreign regulatory authority may not permit us to proceed.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research and development efforts to date have resulted in the initiation of clinical development of BBO-8520, BBO-10203 and BBO-11818. We may not be able to submit INDs for any future product candidates we may identify on the timelines we expect, or such submissions may not take effect on the timeline that we anticipate, or at all. For example, we may experience manufacturing delays or other delays with IND-enabling studies. Moreover, we cannot be sure that submission of an IND will result in the FDA allowing clinical trials to begin, or that, once begun, issues will not arise that could cause us or regulatory authorities to suspend or terminate clinical trials. Additionally, even if the FDA agrees with the design and implementation of the clinical trials set forth in an IND, we cannot guarantee that the FDA will not change our requirements in the future. These considerations also apply to new clinical trials we may submit as amendments to existing INDs or to a new IND. Any failure to submit INDs, CTAs or comparable applications on the timelines we expect or to obtain regulatory approvals for our planned clinical trials may prevent us from initiating or completing our clinical trials or commercializing our product candidates on a timely basis, if at all.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product candidates may cause significant adverse events, toxicities or other undesirable adverse events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our product candidates are associated with undesirable adverse events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adverse events or other characteristics are less prevalent, less severe or more acceptable from a risk-benefit perspective. Treatment-related adverse events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 There have been, and it is likely that there will be additional, adverse events associated with the use of our product candidates as is typically the case with oncology drugs. Results of our studies or trials could reveal a high and unacceptable severity and prevalence of these or other adverse events. In such an event, our trials could be suspended or terminated and the FDA, EMA or comparable foreign regulatory authorities could order us to cease further development of or deny approval of our product candidates for any or all targeted indications. Drug-related adverse events could also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our product candidates may be used in populations for which safety concerns may be particularly scrutinized by regulatory authorities. Our product candidates may be studied in combination with other therapies, which may exacerbate adverse events associated with the therapy. Patients treated with our product candidates may also be undergoing surgical, radiation and chemotherapy treatments, which can cause adverse events that are unrelated to our product candidates but may still impact on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significant adverse events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foreign regulatory authorities or an IRB may suspend clinical trials of a product candidate at any time for various reasons, including a belief that subjects in such trials are being exposed to unacceptable health risks or adverse events. Some potential therapeutics developed in the biotechnology industry that initially showed therapeutic promise in early-stage trials have later been found to cause adverse events that prevented their further development. Even if the adverse events do not preclude the product candidate from obtaining or maintaining marketing approval, undesirable adverse events may inhibit market acceptance due to our tolerability versus other therapies. Any of these developments could materially harm our business, financial condition and prospects. Further, if any of our product candidates obtain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Interim, preliminary and topline data from our preclinical studies and clinical trials that we announce or publishes from time to time may change as more data become available and are subject to audit and verification procedures that could result in material changes in the final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disclosed interim preliminary or topline data from our clinical trials and expect to continue to make such disclosures in the future. These interim updates are anticipated to be based on preliminary analyses of then-available data, and the results and related findings and conclusions may be subject to change following a more comprehensive review of the data related to the particular study or trial. For example, we may report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interim, preliminary or topline results that we report may differ from future results of the same studies or trials, or different conclusions or considerations may qualify such results, once additional data has been received and fully evaluated. Interim, preliminary and topline data also remain subject to audit and verification procedures that may result in the final data being materially different from the interim, preliminary or topline data previously published. As a result, interim, preliminary and topline data should be viewed with caution until the final data are available. In addition, we may report interim analyses of only certain endpoints rather than all endpoints. Interim, preliminary and topline data from clinical trials are subject to the risk that one or more of the clinical outcomes may materially change as patient enrollment continues and more patient data become available. Adverse changes between interim, preliminary or topline data and final data could significantly harm our business and prospects. Further, additional disclosure of interim, preliminary or topline data by us or by our competitors in the future could result in volatility in the price of our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trial is typically selected from a more extensive amount of available information. Investors may not agree with what we determine is the material or otherwise appropriate information to include in our public disclosures, and any information we determine not to disclose may ultimately be deemed significant with respect to future decisions, conclusions, views, activities or otherwise regarding a particular product candidate or our business. If the interim, preliminary or topline data that our report differs from late, final or actual results, or if others, including regulatory authorities, disagree with the conclusions reached, our ability to obtain approval for, and commercialize, any of our product candidates may be harmed, which could harm our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experience delays or difficulties in the enrollment or maintenance of patients in clinical trials, our regulatory submissions or receipt of necessary marketing approvals could be delayed or prevented.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anticipated. We utilize profiling of patients’ tumors to identify suitable patients for recruitment into our clinical trials. For these clinical trials, we seek patients who carry specific gene mutation or amplification that our product candidates are designed to precisely target. We cannot be certain (i) how many patients will have the requisite mutation or amplification that qualify for inclusion in our clinical trials, (ii) that the number of patients enrolled in each program will suffice for regulatory approval or (iii) if regulatory approval is obtained, whether each specific mutation or amplification will be included in the approved drug label. Additionally, we face competition, including from large pharmaceutical companies with significantly more resources than us, for enrollment of our targeted patient populations, which may impact our ability to successfully recruit patients for our clinical trials. If our strategies for patient identification and enrollment prove unsuccessful, we may have difficulty enrolling or maintaining patients appropriate for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future clinical trials may be affected by other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and efficacy of approved drugs for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eligibility criteria for the trial in question as defined in the protocol, including biomarker-driven identification and/or certain highly-specific criteria related to stage of disease progression, which may limit the patient populations eligible for our clinical trials to a greater extent than competing clinical trials for the same indication that do not have a biomarker-driven patient eligibility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willingness to screen their patients for biomarkers to indicate which patients may be eligible for enrollment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proximity and availability of clinical trial sites for prospective patients;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enrolled in clinical trials will drop out of the trials before completion or, because they may be late-stage cancer patients, will not survive the full terms of the clinical trials.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treatment and any follow-up periods.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limited resources and are currently focusing our efforts on the development of BBO-8520, BBO-10203 and BBO-11818 in particular indications and advancing our discovery programs. As a result, we may fail to capitalize on other indications or product candidates that may ultimately have proven to be more profitable.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currently focusing our resources and efforts on our lead product candidates, BBO-8520 a KRAS inhibitor for KRASG12C NSCLC, BBO-10203 a PI3Kα:RAS breaker for PIK3CAmut BC, HER2amp BC, KRASmut NSCLC, KRASmut PDAC, and KRASmut CRC, and BBO-11818 a Pan-KRAS inhibitor for KRASG12X NSCLC, KRASG12X PDAC, KRASG12X CRC, and on advancing our discovery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products or profitable market opportunities. our spending on current and future research and development activities for BBO-8520, BBO-10203 and BBO-11818 and our discovery programs may not yield any commercially viable products. If we do not accurately evaluate the commercial potential or target markets for BBO-8520, BBO-10203 and BBO-11818 or any future product candidates identified through our discovery programs, we may enter into collaboration, licensing or other strategic arrangements with the effect of relinquishing valuable rights in cases in which it would have been more advantageous for us to retain sole development and commercialization rights. In addition, given the similar approaches being utilized by our lead product candidates, negative developments for one candidate in the pipeline may have negative implications for other candidates in the pipeline.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currently rely on third parties to supply and manufacture preclinical and clinical drug supplies, and we intend to rely on third parties to produce commercial supplies of any approved product, which increases the risk that we will not have sufficient quantities of these product candidates or products or such quantities at an acceptable cost, which could delay, prevent or impair our development or commercialization efforts.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own or operate manufacturing facilities for the production of preclinical, clinical or commercial supplies of the product candidates that we are developing or evaluating in our drug development programs. We have limited personnel with experience in drug manufacturing and lacks the resources and the capabilities to manufacture any of our product candidates on a preclinical, clinical or commercial scale. We rely on third parties for supply of our preclinical and clinical drug supplies (including key active pharmaceutical ingredients, or API, drug product, and starting and intermediate materials), and our strategy is to outsource to third parties all manufacturing of our product candidates and products from preclinical development through clinical trials and commercialization, if any product candidates are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conduct clinical trials of product candidates, we will need to have them manufactured in potentially large quantities, particularly for later-stage trials. Our third-party manufacturers may be unable to successfully increase the manufacturing capacity for any of our clinical drug supplies (including API, drug product, and key starting and intermediate materials) in a timely or cost-effective manner, or at all. In addition, quality issues may arise during scale-up activities and at any other time.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some of our third-party suppliers (including suppliers of key active pharmaceutical ingredients, or API, drug product, and starting and intermediate materials) are currently our sole source of supplies and, as a result, an issue with one of these suppliers may more significantly impact or delay our development or commercial plans, as discussed further under the risk factor titled, “Some of the third parties upon whom we currently rely for the supply of the active pharmaceutical ingredients, drug product and starting materials used in our product candidates are our sole source of supply, and the loss of any of these suppliers could delay our development efforts and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use of new third-party manufacturers or suppliers also increases the risk of delays in production or insufficient supplies of our product candidates (and the key API, drug product, and starting and intermediate materials for such product candidates) as we transfer our manufacturing technology to these manufacturers or suppliers and as they gain experience manufacturing or producing our product candidates (and the key API, drug product, and starting and intermediate materials for these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after a third-party manufacturer has gained significant experience in manufacturing our product candidates (or the key API, drug product, and starting and intermediate materials for such product candidates), or even if we believe we have succeeded in optimizing the manufacturing process, there can be no assurance that such manufacturer will supply or produce sufficient quantities of our product candidates (or the key API, drug product, and starting and intermediate materials for such product candidates) in a timely manner or continuously over time, or at all. 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Reliance on third-party manufacturers for preclinical, clinical and commercial supplies entails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breach of the manufacturing or master services agreement by the third party;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misappropriation of our proprietary information, including trade secrets and know-how;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have entered into master services agreements with our current suppliers under which work is performed on an as-needed basis pursuant to quotations or proposals, we do not currently have any agreements with third-party manufacturers for long-term commercial supply. In the future, we may be unable to enter into agreements with third-party manufacturers for commercial supplies of any of our product candidates, or may be unable to do so on acceptable terms. Even if we are able to establish and maintain arrangements with third-party manufacturers for commercial supply, reliance on third-party manufacturers entails risks, including those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product candidates and any products that we may develop may compete with other product candidates and products for access to manufacturing facilities. There are a limited number of manufacturers that operate under cGMP requirements particularly that use chromatography or purification technology necessary for the manufacture of BBO-10203, and that might be capable of manufacturing for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also unable to predict how changing regulatory requirements, global economic conditions or ongoing geopolitical conflicts, trade policy, and related global economic sanctions, or potential global health concerns will affect our third-party suppliers and manufacturers. Any negative impact of such matters on our third-party suppliers and manufacturers may also have an adverse impact on our results of operations or financial condition. For example, in 2024, there was Congressional activity related to interactions with Chinese biopharmaceutical companies, including the introduction of the BIOSECURE Act. Although the BIOSECURE Act has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been passed by Congress, if this bill is re-introduced and is passed, or if similar laws are passed in the future, they would have the potential to restrict the ability of U.S. biopharmaceutical companies like us to purchase services or products from, or otherwise collaborate with, certain Chinese biotechnology companies “of concern” without losing the ability to contract with, or otherwise receive funding from, the U.S. government. Some of our sole source suppliers are companies in China, including some named in these bills, and it is possible some of our contractual counterparties could be impacted by the legislation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or at all. In addition, if we are not able to obtain adequate supplies of our product candidates or the substances used to manufacture them, it will be more difficult for us to develop our product candidates and compete effectively.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(or the key API, drug product, and starting and intermediate materials for such product candidates) may adversely affect our future profit margins and ability to develop product candidates and commercialize any products that receive marketing approval on a timely and competitive basis.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we do.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 candidates are currently under development, and may become commercially available in the future, for the treatment of conditions for which we are currently attempting and may in the future attempt to develop product candidates. In addition, our product candidates may need to compete with drugs physicians use off-label to treat the indications for which we seek approval. This may make it difficult for us to replace existing therapies with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particular, there is intense competition in the field of oncology. We have competitors both in the U.S. and internationally, including major multinational pharmaceutical companies, established biotechnology companies, specialty pharmaceutical companies, emerging and start-up companies, universities and other research institutions. We also compete with these organizations to recruit and retain qualified scientific and management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BBO-8520, there are currently two KRASG12C inhibitors approved by the FDA for use in KRASG12C mutant advanced or metastatic NSCLC.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BBO-10203, there is one PI3Kα inhibitor approved by the FDA for the treatment of HR+ / HER2- advanced or metastatic PIK3CAmut breast cancer.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BBO-11818, there are no pan-KRAS inhibitors approved by the FDA for the treatment of KRASG12X mutant lung, colorectal, or pancreatic cancers.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us. Large pharmaceutical and biotechnology companies, in particular, have extensive experience in clinical testing, obtaining regulatory approvals, recruiting patients and manufacturing biotechnology product candidates. These companies also have significantly greater research and marketing capabilities than us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 candidates in our field before we do.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potential commercial opportunity could be reduced or eliminated if competitors develop and commercialize products that are safer, more effective, have fewer or less severe adverse events, are more convenient, have a broader label, are marketed more effectively,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are more widely reimbursed or are less expensive than any products that we may develop. Physicians may be more willing to prescribe competitors’ products for various reasons, and may rely on guidelines related to treatment of patients issued by medical societies, industry groups or other organizations, which may not include, and may never include, our products. Our competitors also may obtain marketing approval from the FDA, EMA or other comparable foreign regulatory authorities for their products more rapidly than we may obtain approval for our product candidates, which could result in competitors establishing a strong market position before we are able to enter the market, or make our development and marketing more complicated.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products we may develop, if approved, could be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a product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use of product candidates in the labeling approved by regulatory authorities, such as boxed warnings or contraindications in labeling, or a Risk Evaluation and Mitigation Strategy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and perceived advantages of our product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willingness of physicians to use our product candidates, if approved, in lieu of (or in conjunction with) other approved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an approved product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publicity relating to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market opportunities for any product candidates we develop, if approved, may be limited to certain smaller patient subsets and may be smaller than we estimate them to be.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cancer is detected early (referred to as localized disease), conventional treatments, which include chemotherapy, hormone therapy, surgery and radiation therapy and/or selected targeted therapies, may be adequate to cure the patient in many cases. However, once cancer has spread to other areas (advanced or metastatic disease), cancer treatments may not be sufficient to provide a cure but often can significantly prolong life without curing the cancer. First-line therapies designate treatments that are initially administered to patients with advanced or metastatic disease, while second and third-line therapies are administered to patients when the prior therapies lose their effectiveness. The FDA, EMA and other regulatory bodies often approve cancer therapies for a particular line of treatment. Typically, drug approvals are initially granted for use in later lines of treatment, but with additional evidence of significant efficacy from clinical trials, biopharmaceutical companies can successfully seek and gain approval for use in earlier lines of treatment.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most instances, we plan to initially seek approval of BBO-8520, BBO-10203 and BBO-11818 and any other future product candidates for previously treated patients with advanced or metastatic cancer where at least one prior therapy has limited clinical benefit or where tumors have developed resistance to such therapy. For those product candidates that prove to be sufficiently safe and effective, if any, we would potentially expect to seek approval ultimately as a first line therapy. There is no guarantee that our product candidates, even if approved for previously treated patients, would be approved for an earlier line of therapy, and prior to any such approvals we may have to conduct additional clinical trials that may be costly, time-consuming and subject to risk.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data and studies may change the estimated incidence or prevalence of the cancers that we are targeting, especially if new therapies that are approved while we advance our product candidates affect the treatment paradigm and/or the size of the target population.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regulatory approval for additional indications.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Any product candidates we develop may become subject to unfavorable third-party coverage and reimbursement practices, as well as pricing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Patients rely on insurance coverage by third-party payors (third-party payors include Medicare and Medicaid (government payors) and commercial insurance companies such as Blue Cross Blue Shield, Humana, Cigna, etc.), to pay for products. 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U.S. and internationally, on the extent to which the costs of such product candidates will be covered and reimbursed by third-party payors. No uniform policy exists for coverage and reimbursement in the U.S.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Further, it is possible that a third-party payor may consider our product candidates as substitutable with competitor products and offer to reimburse patients only for the less expensive competitor product.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In the U.S., for example, principal decisions about reimbursement for new products are typically made by the Center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payors consider in determining reimbursement are based on whether the product is: (i) a covered benefit under our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Such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 For further discussion, see “- Current and future legislation may increase the difficulty and cost for us to obtain reimbursement for our product candidates;” and “- The prices of prescription pharmaceuticals in the U.S. and foreign jurisdictions are the subject of considerable legislative and executive actions and could impact the prices we obtain for our products, if and when licensed for marketing.”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companion diagnostic tests require coverage and reimbursement separate and apart from the coverage and reimbursement for their companion pharmaceutical or products. Similar challenges to obtaining coverage and reimbursement, applicable to pharmaceutical or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Outside the U.S., the commercialization of therapeutics is generally subject to extensive governmental price controls and other market regulations, and we believe the increasing emphasis on cost containment initiatives in Europe, Canada and other countries have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entails a significant risk of product liability and if we are unable to obtain sufficient insurance coverage such inability could have an adverse effect on our business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exposes us to significant product liability and other risks inherent in the development, testing, manufacturing and marketing of therapeutic treatments. Product liability and other claims or incidents, such as cyber incidents and breaches, could delay or prevent completion of our development programs. If we succeed in marketing products, such claims could result in an FDA, EMA or other regulatory authority investigation of the safety and effectiveness of our products,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and other insurance that we believe is appropriate for our stage of development and may need to obtain higher levels prior to advancing our product candidates into later stages of development or marketing any of our product candidates, if approved. Any insurance we have or may obtain may not provide sufficient coverage against potential liabilities. Furthermore, clinical trial, product liability, and other types of insurance (such as cyber insurance) are becoming increasingly expensive and difficult to obtain. As a result, we may be unable to obtain sufficient insurance at a reasonable cost to protect us against losses caused by product liability or other claims or incidents, including data breach and incidents, that could have an adverse effect on our business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Certain of our product candidates are novel, complex and difficult to manufacture. We could experience manufacturing problems that result in delays in our development or commercialization or otherwise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manufacturing processes our third-party contract manufacturing organizations (“CMOs”) use to produce our product candidates are complex, novel and have not been validated for commercial use. Several factors have caused and may cause future production interruptions, including restrictions on certain manufacturing operations and shortages in on-site personnel at our CMOs’ manufacturing facilities, equipment malfunctions, facility contamination, raw material shortages or contamination, natural disasters, disruption in utility services, human error or disruptions in the operations of our suppliers, including historical disruptions, which could reoccur in connection with any future global pandemic or health emergency.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Several of our small molecule product candidates are particularly complex and difficult to manufacture, in some cases due to the number of steps required, the process complexity and the toxicity of end or intermediate-stage products. Our product candidates require processing steps that are more complex than those required for most small molecule drugs.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EMA or other applicable standards or specifications with consistent and acceptable production yields and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which could be costly to us and otherwise harm our business, financial condition, results of operations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problems in our CMOs’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also restrict our ability to meet potential future market demand for any products that may be approved.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Certain of our product candidates are under development for the treatment of patient populations with significant comorbidities that may result in deaths or serious adverse or unacceptable side effects and require us to abandon or limit our clinical development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Patients in certain of our ongoing and planned clinical trials of product candidates in genetically driven cancers, as well as patients who may undergo treatment with other product candidates that we may develop, may also receive chemotherapy, radiation, and/or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high dose or myeloablative treatments in the course of treatment of their disease, and may therefore experience side effects or AEs, including death, that are unrelated to our product candidates. While these side effects or AEs may be unrelated to our product candidates, they may still affect the success of our clinical trials. The inclusion of critically ill patients in our clinical trials may also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product candidates through clinical development may harm our business, financial condition, results of operations and prospects.</w:t>
      </w:r>
    </w:p>
    <w:p>
      <w:pPr>
        <w:pStyle w:val="TextBody"/>
        <w:bidi w:val="0"/>
        <w:spacing w:before="200" w:after="283"/>
        <w:jc w:val="both"/>
        <w:rPr>
          <w:rFonts w:ascii="Times New Roman" w:hAnsi="Times New Roman"/>
          <w:b/>
          <w:color w:val="231F20"/>
          <w:sz w:val="20"/>
        </w:rPr>
      </w:pPr>
      <w:r>
        <w:rPr>
          <w:rFonts w:ascii="Times New Roman" w:hAnsi="Times New Roman"/>
          <w:b/>
          <w:color w:val="231F20"/>
          <w:sz w:val="20"/>
        </w:rPr>
        <w:t>Risks Related to Regulatory Approval and Other Legal Compliance Matters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be unable to obtain U.S. or foreign regulatory approval and, as a result, may be unable to commercialize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U.S. and in many foreign jurisdictions before a new drug can be approved for marketing. Satisfaction of these and other regulatory requirements is costly, time-consuming,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have experience conducting, managing or completing large-scale or pivotal clinical trials nor managing the regulatory approval process with the FDA, EMA or any other regulatory authority. The time required to obtain approvals from the FDA, EMA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change during drug development, which makes it difficult to predict with any certainty how such standards will be applied. We may also encounter unexpected delays or increased costs due to new government regulations, including future legislation or administrative action, changes in applicable FDA, EMA or other regulatory policy during the period of drug development, clinical trials and regulatory review, or significant changes to FDA personnel during the regulatory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Applications for our product candidates could fail to receive regulatory approval for many reasons, including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determine that our product candidates are not safe and effective or have undesirable or unintended adverse events, toxicities or other characteristics that preclude us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FDA, EMA or other comparable foreign regulatory authorities that our product candidates’ risk-benefit ratios for their proposed indications are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EMA or other comparable foreign regulatory authorities may significantly change in a manner rendering our clinical data insufficient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REMS plan as part of approving a New Drug Application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distribution through controlled distribution channels, and requiring treated patients to enroll in a registry. These limitations and restrictions may significantly limit the size of the market for the drug and affect reimbursement by third-party payors.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plan to develop certain of our current product candidates and potentially future product candidates in combination with other therapies, which would expose us to additional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plan to develop certain of our current product candidates in combination with one or more currently approved cancer therapies or therapies in development and may pursue a similar strategy for future product candidates. For example, the ongoing Phase 1 trial of BBO-8520 is evaluating BBO-8520 both as a monotherapy and in combination with pembrolizumab. On January 7, 2026, we reported positive preliminary safety and antitumor data across our three orally bioavailable, differentiated small molecule RAS and PI3Ka programs. The data updates included BBO-8520, a direct inhibitor targeting both the ON and OFF states of KRASG12C; BBO-11818, a panKRAS inhibitor targeting mutant KRAS in both the ON and OFF states, and BBO-10203, a RAS-PI3Ka breaker with a novel mechanism of action designed to inhibit the physical interaction between RAS and PI3Ka. Even if any of our current or future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also evaluate our current or future product candidates in combination with one or more other cancer therapies that have not yet been approved for marketing by the FDA, EMA or comparable foreign regulatory authorities. For example, none of our product candidates have obtained approval for marketing from any regulatory authority, and we plan to evaluate certain of our product candidates in combination with each other. We will not be able to market and sell any product candidate in combination with any such unapproved cancer therapies that do not ultimately obtain marketing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FDA, EMA or other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conducted and intend to continue conducting certain of our clinical trials globally. However, the FDA and other foreign equivalents may not accept data from such trials, in which case our development plans may be delayed, which could materially harm our business.</w:t>
      </w:r>
    </w:p>
    <w:p>
      <w:pPr>
        <w:pStyle w:val="TextBody"/>
        <w:bidi w:val="0"/>
        <w:spacing w:before="200" w:after="283"/>
        <w:jc w:val="both"/>
        <w:rPr>
          <w:rFonts w:ascii="Times New Roman" w:hAnsi="Times New Roman"/>
          <w:sz w:val="20"/>
        </w:rPr>
      </w:pPr>
      <w:r>
        <w:rPr>
          <w:rFonts w:ascii="Times New Roman" w:hAnsi="Times New Roman"/>
          <w:color w:val="000000"/>
          <w:sz w:val="20"/>
        </w:rPr>
        <w:t>We have conducted and intends to continue conducting certain of our clinical trials globally. The acceptance by the FDA or other regulatory authorities of study data from clinical trials conducted outside of their respective jurisdictions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w:t>
      </w:r>
      <w:r>
        <w:rPr>
          <w:rFonts w:ascii="Times New Roman" w:hAnsi="Times New Roman"/>
          <w:b/>
          <w:color w:val="000000"/>
          <w:sz w:val="20"/>
        </w:rPr>
        <w:t>GCP</w:t>
      </w:r>
      <w:r>
        <w:rPr>
          <w:rFonts w:ascii="Times New Roman" w:hAnsi="Times New Roman"/>
          <w:color w:val="000000"/>
          <w:sz w:val="20"/>
        </w:rPr>
        <w:t xml:space="preserve">") regulations; and (iii) the data may be considered valid without the need for an on-site inspection by the FDA, or if the FDA considers such inspection to be necessary, the FDA is able to validate the data through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and FDA has discussed proposals to increase user fees for marketing applications containing certain foreign clinical data. If the FDA or any comparable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clinical trials outside the U.S. also exposes us to additional risks, including risks associated 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cultural differences in medical practice and clinical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interruptions or delays in our trials resulting from geopolitical events, including civil or political unrest or military conflicts.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marketing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obtain pricing and/or reimbursement determinations before it can achieve broad commercial access. In some cases, the price that we intend to charge for our products is also subject to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fails to comply with the regulatory requirements in international markets or fails to receive applicable marketing approvals, our target market will be reduced and our ability to realize the full market potential of our product candidates will be harmed.</w:t>
      </w:r>
    </w:p>
    <w:p>
      <w:pPr>
        <w:pStyle w:val="TextBody"/>
        <w:bidi w:val="0"/>
        <w:spacing w:before="200" w:after="283"/>
        <w:jc w:val="both"/>
        <w:rPr>
          <w:rFonts w:ascii="Times New Roman" w:hAnsi="Times New Roman"/>
          <w:sz w:val="20"/>
        </w:rPr>
      </w:pPr>
      <w:r>
        <w:rPr>
          <w:rFonts w:ascii="Times New Roman" w:hAnsi="Times New Roman"/>
          <w:color w:val="000000"/>
          <w:sz w:val="20"/>
        </w:rPr>
        <w:t>Further, we could face increased regulatory burden with respect to obtaining marketing authorization in the United Kingdom (“</w:t>
      </w:r>
      <w:r>
        <w:rPr>
          <w:rFonts w:ascii="Times New Roman" w:hAnsi="Times New Roman"/>
          <w:b/>
          <w:color w:val="000000"/>
          <w:sz w:val="20"/>
        </w:rPr>
        <w:t>U.K.</w:t>
      </w:r>
      <w:r>
        <w:rPr>
          <w:rFonts w:ascii="Times New Roman" w:hAnsi="Times New Roman"/>
          <w:color w:val="000000"/>
          <w:sz w:val="20"/>
        </w:rPr>
        <w:t>”) as a result of the withdrawal of the U.K. from the EU, commonly referred to as Brexit. Following the end of the Brexit transition period on January 1, 2021 and the implementation of the Windsor Framework on January 1, 2025, the U.K. is not generally subject to EU laws in respect of medicines. The EU laws that have been transposed into U.K. law through secondary legislation remain applicable in the U.K., however, new legislation such as the EU Clinical Trials Regulation is not applicable in the U.K. As of January 1, 2021, the Medicines and Healthcare products Regulatory Agency, (“</w:t>
      </w:r>
      <w:r>
        <w:rPr>
          <w:rFonts w:ascii="Times New Roman" w:hAnsi="Times New Roman"/>
          <w:b/>
          <w:color w:val="000000"/>
          <w:sz w:val="20"/>
        </w:rPr>
        <w:t>MHRA</w:t>
      </w:r>
      <w:r>
        <w:rPr>
          <w:rFonts w:ascii="Times New Roman" w:hAnsi="Times New Roman"/>
          <w:color w:val="000000"/>
          <w:sz w:val="20"/>
        </w:rPr>
        <w:t xml:space="preserve">”), is the UK's standalone medicines and medical devices regulator. Since January 1, 2025, under the Windsor Framework, the MHRA regulates medicines through UK-wide marketing authorizations, including for Northern Ireland. As a result, we will be required to obtain separate authorizations in order to market our product candidates in the U.K. and EU.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For instance, the EU pharmaceutical legislation is currently undergoing a complete review and reform process, in the context of the Pharmaceutical Strategy for Europe initiative, launched by the European Commission in November 2020. The European Commission’s proposal for the revision of several legislative instruments related to medicinal products (potentially reducing the duration of regulatory data protection, revising the eligibility for expedited pathways, etc.) was published on April 26, 2023. In April 2024, the European Parliament adopted its position on the legislative proposals and, in June 2025, the Council of the European Union adopted its position. A provisional political agreement on the reform was reached and a common position on the text was agreed upon on December 11, 2025, in the context of subsequent inter-institutional trilogue negotiations. The revised legislation must still be formally adopted by the European Parliament and the Council of the European Union. The proposed revisions are not expected to become applicable before 2028. The revisions may however have a significant impact on the pharmaceutical industry and our business in the long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delay in obtaining, or an inability to obtain, any marketing approvals, as a result of Brexit or otherwise, may force us to restrict or delay efforts to seek regulatory approval in the U.K. for our product candidates, which could significantly and materially harm our business. Further, clinical trials conducted in one country may not be accepted by regulatory authorities in other countries. Also, regulatory approval for our product candidates may be withdrawn. If we fail to comply with the applicable regulatory requirements, our target market will be reduced, our ability to realize the full market potential of our product candidates will be harmed, and our business, financial condition, results of operations and prospects could be harmed.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Even if our product candidates receive regulatory approval, they will be subject to significant post-marketing regulatory requirements and oversight.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EMA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 and GCP for any clinical trials that we conduct post-approval. In addition, manufacturers of drug products and their facilities are subject to continual review and periodic, unannounced inspections by the FDA, competent authorities of the EU Member States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us to administrative or judicially imposed sanctions,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or the rejection of product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products, manufacturers or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suspension or withdrawal of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or partial suspension of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revisions to the labeling, including limitation on approved uses or the addition of additional warnings, contraindications or other safety information, including boxed warnings;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REMS, which may include distribution or use restrictions;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conduct additional post-market clinical trials to assess the safety of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FDA, EMA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FDA, competent authorities of the EU Member States and other regulatory authorities actively enforce the laws and regulations prohibiting the promotion of off-label 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of our product candidates are approved and we are found to have improperly promoted off-label uses of those products, we may become subject to significant liability. The FDA, competent authorities of the EU Member States and other regulatory authorities strictly regulate the promotional claims that may be made about prescription products, such as our product candidates, if approved. In particular, a product may not be promoted in the U.S. for uses that are not approved by the FDA as reflected in the product’s approved labeling, or in other jurisdictions for uses that differ from the labeling or uses approved by the applicable regulatory authorities. While physicians may prescribe products for off-label uses, the FDA, competent authorities of the EU Member States and other regulatory authorities actively enforce laws and regulations that prohibit the promotion of off-label uses by companies, including promotional communications made by companies’ sales forces with respect to off-label uses that are not consistent with the approved labeling, and a company that is found to have improperly promoted off-label uses may be subject to significant civil, criminal and administrative penalties.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required by the FDA, EMA or comparable regulatory authority to obtain clearance or approval of a companion diagnostic test in connection with approval of any of our product candidates or a group of therapeutic products, and we do not obtain or we face delays in obtaining clearance or approval of a diagnostic test, we may not be able to commercialize the product candidate and our ability to generate revenue may be materially impaired.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required by the FDA, EMA or a comparable regulatory authority to obtain clearance or approval of a companion diagnostic test in connection with approval of any of our product candidates, such companion diagnostic test would be used during our more advanced phase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ensuring the safe and effective use of a novel therapeutic product or new indication, the FDA generally will not approve the therapeutic product or new therapeutic product indication if the companion diagnostic is not also approved or cleared. In certain circumstances (for example, when a therapeutic product is intended to treat a serious or life-threatening condition for which no satisfactory available therapy exists or when the labeling of an approved product needs to be revised to address a serious safety issue), however, the FDA may approve a therapeutic product without the prior or contemporaneous marketing authorization of a companion diagnostic. In this case, approval of a companion diagnostic may be a post-marketing requirement or commitment.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Co-development of companion diagnostics and therapeutic products is critical to the advancement of precision medicine. Whether initiated at the outset of development or at a later point, co-development should generally be conducted in a way that will facilitate obtaining contemporaneous marketing authorizations for the therapeutic product and the associated companion diagnostic. If a companion diagnostic is required to identify patients who are most likely to benefit from receiving the product, to be at increased risk for serious adverse events as a result of treatment with a particular therapeutic product, or to monitor response to treatment with a particular therapeutic product for the purpose of adjusting treatment to achieve improved safety or effectiveness, then the FDA has required marketing approval of all companion diagnostic tests essential for the safe and effective use of a therapeutic product for cancer therapies. Various foreign regulatory authorities also regulate in vitro companion diagnostics as medical devices and, under those regulatory frameworks, will likely require the conduct of clinical trials to demonstrate the safety and effectiveness of any future diagnostics we may develop, which we expect will require separate regulatory clearance or approval prior to commercialization in those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approval of a companion diagnostic as part of the therapeutic product’s labeling limits the use of the therapeutic product to only those patients who express the specific genomic alteration or mutation alteration that the companion diagnostic was developed to detect. If the FDA, EMA or a comparable regulatory authority requires clearance or approval of a companion diagnostic for any of our product candidates, whether before, concurrently with approval, or post-approval of the product candidate, we and/or future collaborators, may encounter difficulties in developing and obtaining clearance or approval for these companion diagnostics. The process of obtaining or creating such diagnostic is time consuming and costly. The FDA previously has required in vitro companion diagnostics intended to select the patients who will respond to a product candidate to obtain pre-market approval (“PMA”), simultaneously with approval of the therapeutic candidate. The PMA process, including the gathering of preclinical and clinical data and the submission and review by the FDA, can take several years or longer. It involves a rigorous pre-market review during which the sponsor must prepare and provide FDA with reasonable assurance of the device’s safety and effectiveness and information about the device and its components regarding, among other things, device design, manufacturing, and labeling. After a device is placed on the market, it remains subject to significant regulatory requirements, including requirements governing development, testing, manufacturing, distribution, marketing, promotion, labeling, import, export, record-keeping, and adverse event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Any delay or failure by us or third-party collaborators to develop or obtain regulatory clearance or approval of a companion diagnostic could delay or prevent approval or continued marketing of our related product candidates. Changes in policy or approach to regulation by the FDA, EMA and other regulatory authorities may impact our development of a companion diagnostic for our product candidates and could result in delays in regulatory clearance or approval or a change in the determination for whether or not a companion diagnostic is still required for our product candidates. We may be required to conduct additional studies to support a broader claim or more narrowed claim for a subset population. Also, to the extent other approved diagnostics are able to broaden their labeling claims to include any of our future approved product candidates’ covered indications, we may no longer need to continue our companion diagnostic development plans or we need to alter those companion diagnostic development strategies, which could adversely impact our ability to generate revenue from the sale of our companion diagnostic test.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we may rely on third parties for the design, development and manufacture of companion diagnostic tests for our product candidates. If we enter into such collaborative agreements, we will be dependent on the sustained cooperation and effort of our future collaborators in developing and obtaining clearance or approval for these companion diagnostics. It may be necessary to resolve issues such as selectivity/ specificity, analytical validation, reproducibility, or clinical validation of companion diagnostics during the development and regulatory clearance or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experiences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co-development or commercialization of our companion diagnostic and therapeutic product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Where appropriate, we plan to pursue approval from the FDA, EMA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Where appropriate, we plan to pursue accelerated development strategies in areas of medical need. we may seek an accelerated approval pathway for one or more of our product candidates from the FDA, EMA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As a condition of approval, the FDA may require that a sponsor of a product receiving accelerated approval perform adequate and well-controlled post-marketing confirmatory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was granted. FDORA also requires sponsors to send updates to the FDA every 180 days on the status of such studies, including progress toward enrollment targets, and the FDA must promptly post this information publicly. Furthermore, under FDORA, the FDA is empowered to take action, such as issuing fines, against companies that fail to conduct with due diligence any post-approval confirmatory trial or submit timely reports to the agency on their progress. In the Consolidated Appropriations Act, Congress provided FDA with additional authorities to help prevent such delays, including that FDA may, when appropriate, require a confirmatory study or studies to be underway prior to approval. In addition, for products under consideration for accelerated approval, the FDA currently requires, unless otherwise requested by the agency, pre-approval of promotional materials prior to dissemination or publication, which could adversely impact the timing of the commercial launch of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EU, a “conditional” marketing authorization may be granted in cases where all the required safety and efficacy data are not yet available but where the medicinal product meets certain other criteria, including that the medicine fulfils an unmet medical need and the benefit of the medicine's immediate availability to patients is greater than the risk inherent in the fact that additional data are still required.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seeking accelerated approval,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any other form of expedited development, review or approval, there can be no assurance that such submission or application will be accepted or that any expedited development, review or approval will be granted on a timely basis, or at all.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seek certain designations for our product candidates, including Breakthrough Therapy, Fast Track and Priority Review in the U.S., and PRIME (priority medicines) in the EU, but we might not receive such designations, and even if we do, such designations may not lead to a faster development or regulatory review or approval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seek certain designations for BBO-8520, BBO-10203 and BBO-11818 or future product candidates that could expedite review and approval by the FDA, such as Breakthrough Therapy or Fast Track designation for our product candidates, or priority review for our marketing applications for our candidates.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early and frequent interaction and communication between the FDA and the sponsor of the trial can help to identify the most efficient path for clinical development. Sponsors may also have greater interactions with the FDA and the FDA may initiate review of sections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NDA of a product candidate with Breakthrough Therapy designation before the application is complete. This rolling review may be available if the FDA determines, after preliminary evaluation of data submitted by the sponsor, that a product with Breakthrough Therapy designation may be effective.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also seek Fast Track designation for one or more of our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Like with Breakthrough Therapy designation, sponsors with Fast Track products may have greater FDA interactions and the FDA may initiate review of sections of a Fast Track product’s NDA before the application is complete if it determines, after its preliminary data evaluation, that the product may be effective.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also seek a priority review designation for one or more of our product candidates. If the FDA determines that a product candidate intended to treat a serious condition and, if approved, offers a significant improvement in safety or effectiveness, the FDA may designate the product candidate for priority review. A priority review designation shortens the goal for the FDA to review an application within six months, rather than the standard review period of ten months.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designations require a sponsor to submit an application for review and approval by the FDA. Accordingly, even if we believe that one of our product candidates meets the criteria for these designations, the FDA may disagree and instead determine not to make such designation. Further, even if we receive a designation, such as the Fast Track designation we have received for BBO-8520 for the treatment of adult patients with previously treated, KRASG12C-mutated metastatic non-small cell lung cancer,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our product candidates qualify for these designations, the FDA may later decide that the product candidates no longer meet the conditions for qualification or decide that the time period for FDA review or approval will not be shortened.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EU, we may seek support under the EMA's PRIME scheme for some of our product candidates in the future. PRIME is a voluntary program launched by the EMA that is aimed at enhancing the scientific and regulatory support for the development and accelerated assessment of new product candidates that target an unmet medical need. PRIME aims to offer early and proactive support to sponsors to optimize the generation of robust data on the product’s benefits and risks and enable accelerated regulatory assessment of new marketing authorization applications. To be eligible for PRIME, a product candidate must meet the eligibility criteria with respect to our potential to offer a major therapeutic advantage over existing treatments, or benefit patients who do not have any treatment options. The benefits of PRIME include the appointment of a rapporteur from CHMP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We may apply for support under the PRIME scheme for some of our product candidates and it may not be granted.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Regulatory authorities in some jurisdictions, including the U.S. and the EU, may designate drugs for relatively small patient populations as orphan drugs. Under the Orphan Drug Act, the FDA may designate a product candidate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researching and developing the drug will be recovered from sales in the U.S. our target indications may include diseases with large patient populations or may include orphan indications. There can be no assurances that we will be able to obtain orphan designation for our current product candidates or candidates we may discover and develop in the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U.S., orphan drug designation entitles a party to financial incentives such as opportunities for grant funding towards clinical trial costs, tax advantages and user-fee waivers. In addition, if a product candidate that has orphan drug designation subsequently receives the first FDA approval for the disease for which it has such designation, the product candidate is entitled to orphan drug exclusivity. Orphan drug exclusivity in the U.S. provides that the FDA may not approve any other applications, including a full NDA, to market the same drug for the same indication for seven years, except in limited circumstances. The applicable exclusivity period is 10 years in the EU. The EU exclusivity period can be reduced to six years if, at the end of the fifth year, it is determined that a drug no longer meets the criteria for orphan drug designation or if the drug is sufficiently profitable so that market exclusivity is no longer justified.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if applicable,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2026, the Consolidated Appropriations Act of 2026 codified the FDA’s longstanding interpretation of the scope of orphan drug exclusivity to apply to “the same drug for the same approved use or indication within such designated rare disease or condition.” This change, which applies retroactively, authorizes the FDA to approve multiple versions of the same orphan drug for different sub-indications and subpopulations, such as adult and pediatric patients or multiple variations of the same disease that are caused by different genetic variants, and ties orphan exclusivity to the indication for which the orphan drug was ultimately approved. The FDA and Congress may further reevaluate the Orphan Drug Act and its regulations and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Current and future legislative and regulatory reform measures and cost containment initiatives may increase the difficulty and cost for us to obtain adequate reimbursement for our product candidates and may adversely affect the prices we may set.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 and future legislation and regulations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If any such changes were to be imposed, they could adversely affect the operation of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Moreover, payment methodologies may be subject to changes in healthcare legislation and regulatory initiatives. For example, CMS may develop new payment and delivery models, including most-favored nations (“MFN”) proposals such as GLOBE, GUARD, and GENEROUS, bundled payment models, or other drug pricing reforms. The current administration has published significant tariffs on certain pharmaceutical products and ingredients, effective in mid-2026, that have not negotiated with the administration to adopt pricing policies such as MFN pricing, which would tie the price for drugs in the United States to the lowest price in a group of other countries.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laws and other healthcare reform measures may result in additional reductions in Medicare and other healthcare funding and otherwise affect the reimbursement we may obtain for any of our product candidates for which we may obtain regulatory approval or the frequency with which any such product is prescribed or used. we expect that the PPACA, as well as other healthcare reform measures that may be adopted in the future, may result in more rigorous coverage criteria. Any reduction in reimbursement from Medicare or other government programs may result in a similar reduction in coverage and payments from private payors. Accordingly, the implementation of cost containment measures or other healthcare reforms may prevent us from being able to generate revenue, attain profitability or commercialize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U.S.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regional health care authorities and individual hospitals are increasingly using bidding procedures to determine what pharmaceutical products and which suppliers will be included in their prescription product and other health care programs. These measures could reduce the ultimate demand for our products, once approved, or put pressure on product pricing. In addition, in some countries, including member states of the EU, the pricing of prescription pharmaceuticals is subject to governmental control. In these countries, pricing negotiations with governmental authorities can take a significant amount of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products could be delayed, possibly for lengthy periods of time, we or our collaborators may not launch at all in a particular country, we may not be able to recoup our investment in one or more products, and there could be a material adverse effect on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or may become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There are multiple privacy and data security laws that may impact our business activities in the U.S. and in other countries where we conduct trials or where we may do business in the future. These laws are evolving and may increase both our obligations and our regulatory risks in the future. In the health care industry generally, for example, under the Health Insurance Portability and Accountability Act of 1996 (HIPAA), HHS has issued regulations to protect the privacy and security of protected health information (PHI) used or disclosed by specific covered entities including certain healthcare providers, health plans and healthcare clearinghouses. We are not currently classified as a covered entity or business associate under HIPAA. Thus, We are not directly subject to HIPAA’s requirements or penalties. The healthcare providers, including certain research institutions from which we may obtain patient or subject health information, may be subject to privacy, security, and breach notification requirements under HIPAA. Additionally, any person may be prosecuted under HIPAA’s criminal provisions either directly or under aiding-and-abetting or conspiracy principles. Consequently, depending on the facts and circumstances, we could face criminal penalties if we knowingly receive individually identifiable health information from a HIPAA covered entity, business associate or subcontractor that has not satisfied HIPAA’s requirements for disclosure of individually identifiable health information. In addition, we may maintain sensitive personally identifiable information, including health and genetic information, that we receive throughout the clinical trial process, in the course of our research collaborations, and directly from individuals (or their healthcare providers) who may enroll in patient assistance programs if we choose to implement such programs. As such, in addition to risks and obligations related to HIPAA, we also may be subject to various state and federal laws regulating the use or disclosure of this information or requiring notification of affected individuals and state regulators in the event of a breach of personal information, which is a broader class of information than the health information protected by HIPAA. Refer to “Other U.S. Regulatory Matters” in our annual report on Form 10-K for the fiscal year ended December 31, 2025, which is incorporated herein by reference, for more information on these state and federal laws.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Data breach notification laws, consumer protection laws and genetic information laws may also apply directly to our operations and/or those of our collaborators and may impose restrictions on our collection, use and dissemination of individuals’ health information. Individuals from whom we or our collaborators may obtain health information, as well as the healthcare providers who may share this information with us, may have statutory or contractual rights that limit the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to HIPAA, we are subject to other U.S. federal, state, and international privacy and data protection laws that may increase our compliance costs, restrict our use of personal information, or expose us to regulatory penalties or private litigation. For a detailed discussion of the risks associated with these laws and regulations, see “Other U.S. Regulatory Matters” in our annual report on Form 10-K for the fiscal year ended December 31, 2025, which discussion is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the collection, use, disclosure, transfer or other processing of personal data regarding individuals in the European Economic Area or EEA and the UK, including data concerning health, is subject to the EU General Data Protection Regulation, or EU GDPR, with respect to the EEA, and the UK General Data Protection Regulation, or UK GDPR, with respect to the UK, and collectively with the EU GDPR referred to as the “GDPR” in this report unless specified otherwise. The GDPR applies to companies established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EEA/UK, as well as to any company established outside the EEA/UK, if they collect and use personal data in connection with the offering of goods or services to individuals in the EEA/UK or the monitoring of their behavior in the EEA/ Switzerland/UK. The GDPR is wide-ranging in scope and imposes numerous requirements on companies that process personal data, including requirements relating to processing health and other sensitive data, obtaining consent of the individuals to whom the personal data relates, having legal bases and/or conditions for processing personal data, providing details to those individuals regarding the processing of their personal data, implementing safeguards to protect the security and confidentiality of personal data, having data processing agreements with third parties who process personal data, responding to individuals’ requests to exercise their rights in respect of their personal data, ensuring appropriate technical and organizational measures are in place and reporting security breaches involving personal data to the competent national data protection authority and affected individuals, appointing data protection officers, conducting data protection impact assessments, ensuring certain accountability measures are in place and record keeping. The GDPR also imposes strict rules on the transfer of personal data to countries outside the EEA, including the United States, and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Brexit may adversely impact our ability to obtain regulatory approvals for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Disruptions at the FDA, the SEC and other government agencies or comparable regulatory authorities caused by funding shortages, leadership changes, or global health concerns, in addition to continued uncertainty regarding the U.S. presidential administration’s initiatives and staffing cuts and how these might impact the FDA, its implementation of laws, regulations, policies and guidance, and its personnel, could hinder government agencies’ ability to hire and retain key leadership and other personnel, or otherwise prevent new products and services from being developed or commercialized in a timely manner, or otherwise prevent those agencies from performing normal business functions on which our business operations rely, including timely reviews, which could negatively impact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leadership and key personnel and accept the payment of user fees, and statutory, regulatory, and policy changes that may otherwise affect the FDA’s or comparable foreign regulatory authorities’ ability to perform routine functions. In addition, government funding of the SEC and other government agencies or comparable foreign regulatory authorities on which our operations may rely, including those that fund research and development activities, is subject to the political process, which is inherently fluid and unpredictable.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Disruptions at the FDA and other agencies, including substantial leadership departures, personnel cuts, and policy changes, may also slow the time necessary for new drugs to be reviewed and/or approved by necessary government agencies, which would harm our business. Changes and cuts in FDA staffing could result in delays in the FDA’s responsiveness or in its ability to review IND submissions or applications, issue regulations or guidance, or implement or enforce regulatory requirements in a timely fashion or at all.</w:t>
      </w:r>
    </w:p>
    <w:p>
      <w:pPr>
        <w:pStyle w:val="TextBody"/>
        <w:bidi w:val="0"/>
        <w:jc w:val="both"/>
        <w:rPr>
          <w:rFonts w:ascii="Times New Roman" w:hAnsi="Times New Roman"/>
          <w:color w:val="000000"/>
          <w:sz w:val="20"/>
        </w:rPr>
      </w:pPr>
      <w:r>
        <w:rPr>
          <w:rFonts w:ascii="Times New Roman" w:hAnsi="Times New Roman"/>
          <w:color w:val="000000"/>
          <w:sz w:val="20"/>
        </w:rPr>
        <w:t>Similar consequences would also result in the event of another significant shutdown of the federal government. For example, over the last several years, the U.S. federal government has shut down several times and certain regulatory agencies, such as the FDA, have had to furlough critical FDA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to timely review and process our regulatory submissions, which could materially adversely affect our business, financial condition, results of operations and prospects. Such changes could significantly impact the ability of the FDA to timely review and take action on our regulatory submissions, which could have a material adverse effect on our business, including INDs placed on clinical holds or delayed new drug approvals. Further, in our operations as a public company, future government shutdowns or substantial leadership, personnel, and policy changes could impact our ability to access the public markets and obtain necessary capital in order to properly capitalize and continue our operations. If the FDA is constrained in its ability to engage in oversight and implementation activities in the normal course, our business may be negatively impacted.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With the change in the U.S. presidential administration in 2025, there continues to be substantial uncertainty as to whether and how the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current administration could issue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new administration, there could be a material adverse effect on us and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our product candidates are licensed for marketing and receive federal healthcare reimbursement, any relationships we may have with healthcare providers will be subject to applicable healthcare fraud and abuse laws and regulations, which could expose us to criminal and civil penalties and exclusion from participation in government healthcare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markets, sells and distributes any products for which we obtain marketing approval. These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for or the purchase, lease or order of a good, facility, item or service for which payment may be made under a federal healthcare program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civil and criminal false claims laws, including the FCA and civil monetary penalty laws, which impose criminal and civil penalties against individuals or entities for, among other things, knowingly presenting, or causing to be presented, claims for payment or approval from Medicare, Medicaid or other federal healthcare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Health Insurance Portability and Accountability Act of 1996 (HIPAA) imposes criminal and civil liability for, among other things, executing, or attempting to execute, a scheme or making materially false statements in connection with the delivery of or payment for health care benefits regardless of the payor (e.g., public or private), items or services. Similar to the federal Anti-Kickback Statute, a person or entity can be found guilty of violating these statutes without actual knowledge of the statutes or specific intent to violate them in order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federal and state laws government price reporting laws, which require manufacturers to calculate and report complex pricing metrics in an accurate and timely manner to government programs;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also prohibited in the EU.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Our failure to comply with these requirements could result in reputational risk, public reprimands, administrative penalties, fines or imprisonment.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diminished profits and future earnings, and the curtailment or restructuring of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Defending against any such actions in connection with these laws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If any of the above occur, our ability to operate our business and our results of operations could be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risk that our employees, independent contractors, consultants, commercial collaborators, principal investigators, CROs, suppliers and vendors may engage or may have engaged in fraud, misconduct or other improper activities. Misconduct by these parties could include failures to comply with FDA, EMA or comparable foreign regulatory authority regulations, provide accurate information to the FDA, EMA or comparable foreign regulatory authorities,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and engages contractors that agree to undertake certain measures with respect to their employees,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activities may be subject to the U.S. Foreign Corrupt Practices Act (“FCPA”) and similar anti- bribery and anti-corruption laws of other countries in which we operate, as well as U.S. and certain foreign export controls, economic sanctions, import, and trade and national security laws and regulations. Compliance with these legal requirements could limit our ability to compete in foreign markets and subject us to liability if we violate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The biotechnology and pharmaceutical industries have historically presented a heightened risk profile for FCPA enforcement.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employees, disgorgement, and other sanctions and remedial measures, and prohibitions on the conduct of our business. Any such violations could include prohibitions on our ability to offer our products in one or more countries and could materially damage our reputation, brand, international activities, ability to attract and retain employees and business, prospects, operating results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our business activities (including conduct of clinical trials) and products may be subject to U.S. and foreign export controls, economic sanctions, import and trade and national security laws and regulations. Governmental regulation of the import or export of our products, or our failure to obtain any required import or export authorization for our products, when applicable, could harm our international or domestic sales and adversely affect revenue. Compliance with applicable regulatory requirements regarding the conduct of clinical trials and export of our products may create delays in the introduction of our products in international markets or, in some cases, prevent the export of our products to some countries altogether. Furthermore, U.S. export control laws and economic sanctions prohibit certain transactions and the shipment of certain products and services to countries, governments, and persons targeted by U.S. sanctions. If we fail to comply with export and import regulations and such economic sanctions, penalties could be imposed, including fines and/or denial of certain export privileges and reputational harm.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Moreover, any new export controls, import restrictions, economic sanctions, national security policy,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in addition to adversely affecting cross-border operations and transactions. Any decreased use of our products or limitation on our ability to export or sell our products, or import materials for our products, would likely adversely affect our business. For instance, the U.S. Department of Justice’s Bulk Data Rule, which went into effect April 8, 2025 prohibits certain covered data transactions (including for human ‘omic and personal health data) and establishing data security requirements for restricted transactions involving China, Russia, and other countries of concern on national security grounds.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More recently, tariffs have been proposed on products from Canada, China, Mexico and potentially other countries, which could have the effect of disrupting, and increasing costs associated with, our supply chain of materials and other imports needed for our operations and business in the United States. The course of trade relations between the United States and other countries is difficult to predict, including how operations, transactions, products, and services may be impacted by the respective trade policies of the United States and other countries (including those in retaliation). If we are unable to conduct transactions, obtain or use services, or export or sell products or services to third parties, including vendors, customers, and partners in other countries, our business, liquidity, financial condition, or operations would be materially and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fail to comply with applicable environmental, health and safety laws and regulations, we could become subject to fines or penalties or incur costs that could have a material adverse effect on the success of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products.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Compliance with applicable environmental, health and safety laws and regulations is expensive, and current or future environmental regulations may impair our business, prospects, financial condition or results of operations.</w:t>
      </w:r>
    </w:p>
    <w:p>
      <w:pPr>
        <w:pStyle w:val="TextBody"/>
        <w:bidi w:val="0"/>
        <w:spacing w:before="200" w:after="283"/>
        <w:jc w:val="both"/>
        <w:rPr>
          <w:rFonts w:ascii="Times New Roman" w:hAnsi="Times New Roman"/>
          <w:b/>
          <w:color w:val="231F20"/>
          <w:sz w:val="20"/>
        </w:rPr>
      </w:pPr>
      <w:r>
        <w:rPr>
          <w:rFonts w:ascii="Times New Roman" w:hAnsi="Times New Roman"/>
          <w:b/>
          <w:color w:val="231F20"/>
          <w:sz w:val="20"/>
        </w:rPr>
        <w:t>Risks Related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success is highly dependent on our ability to attract, hire and retain highly skilled executive officers and employees, and we may experience difficulties in managing the future growth of our organization.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have a small team focused on research and development of RAS-pathway targeted small molecules. To succeed, we must recruit, hire, retain, manage and motivate qualified clinical, scientific, technical, financial and management personnel, and we face significant competition for experienced personnel. Personnel with the required skills and experience may be scarce or may not be available at all. In addition, competition for these skilled personnel is intense and recruiting and retaining skilled employees is difficult, particularly for a development-stage company such as us. Even if we are successful in identifying, attracting, hiring and retaining qualified employees, recent market changes, including labor shortages, and rising inflation have increased employee-related costs substantially, which may negatively affect our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highly dependent on the principal members of our management and scientific and medical staff. If we do not succeed in attracting and retaining qualified personnel in these positions, it could adversely affect our ability to execute our business plan and harm our operating results. In particular, the loss of one or more of our executive officers could be detrimental if we cannot recruit suitable replacements in a timely manner. In April 2026, we announced certain changes to our management team, including the appointment of Pedro J. Beltran, who succeeded Eli Wallace as our President and Chief Executive Officer, and the appointment of Idan Elmelech as our Chief Operating Officer, effective April 20, 2026. Neil Kumar was also appointed as the Executive Chairman of our board of directors, effective April 20, 2026. And, on April 21, 2026, Uneek Mehra, our Chief Financial Officer departed from his roles as principal financial officer and principal accounting officer of us, and his last day with us was on April 30, 2026. Effective April 21, 2026, we appointed Mr. Elmelech as our principal financial officer and Marc Cobo, our Vice President of Finance and Controller, as our principal accounting officer.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we rely on our clinical advisory board and other scientific and clinical advisors and consultants to assist us in formulating our research, development and clinical strategies. Most of these advisors and consultants are not our employees and may have commitments to, or consulting or advisory contracts with, other entities that may limit their availability. In addition, these advisors and consultants typically will not enter into non-compete agreements with us. If a conflict of interest arises between their work for us and their work for another entity, We may lose our services. Furthermore, our advisors may have arrangements with other companies to assist those companies in developing products or technologies that may compete with us. In particular, if we are unable to maintain consulting or employment relationships with other scientific and clinical advisors, or if they provide services to our competitors, our development and commercialization efforts will be impaired and our business will be significantly harmed. For example, if we are no longer able to access our network of physician-scientists, our ability to define and characterize patients’ needs for future product candidate development may be negatively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successfully implement our development and commercialization plans and strategies, and as we grow as a public company, we expect to need significant additional managerial, operational, financial, sales, marketing and other personnel. Future growth will impose significant added responsibilities on members of management,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identifying, recruiting, integrating, maintaining, retaining and motivating our current and additional employees;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managing our internal development efforts effectively, including the preclinical, clinical, FDA, EMA and other comparable foreign regulatory authorities’ review process for BBO-8520, BBO-10203 and BBO-11818 and our discovery programs, while complying with any contractual obligations to contractors and other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managing increasing operational and managerial complexity;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certain independent organizations, advisors and consultants to provide certain services, including key aspects of research, clinical development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clinical trials may be extended, delayed or terminated, and we may not be able to obtain marketing approval for any of our product candidates or otherwise advance our business. There can be no assurance that we will be able to manage our existing third-party service providers or find other competent outside contractors and consultants on economically reasonable terms,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not able to effectively expand our organization by hiring new employees and/or engaging additional third-party service providers, we may not be able to successfully implement the tasks necessary to further develop and commercialize BBO-8520, BBO-10203 and BBO-11818 or any future product candidate from our discovery programs and, accordingly, may not achieve our research, development and commercialization goals.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reliance on a limited number of employees who provide various administrative, research and development, and other services across our organization presents operational challenges that may adversely affect our business.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June 30, 2026, we had 88 full-time employees, upon whom we rely for various administrative, research and development, and other services. The small size of our team may limit our ability to devote adequate personnel, time, and resources to support our operations or research and development activities, and the management of financial, accounting, and reporting matters. If our team fails to provide adequate administrative, research and development, or other services across our organization, our business, financial condition, and results of operations could be harmed.</w:t>
      </w:r>
    </w:p>
    <w:p>
      <w:pPr>
        <w:pStyle w:val="TextBody"/>
        <w:bidi w:val="0"/>
        <w:spacing w:before="0" w:after="200"/>
        <w:jc w:val="both"/>
        <w:rPr>
          <w:rFonts w:ascii="Times New Roman" w:hAnsi="Times New Roman"/>
          <w:sz w:val="20"/>
        </w:rPr>
      </w:pPr>
      <w:r>
        <w:rPr>
          <w:rFonts w:ascii="Times New Roman" w:hAnsi="Times New Roman"/>
          <w:b/>
          <w:i/>
          <w:color w:val="000000"/>
          <w:sz w:val="20"/>
        </w:rPr>
        <w:t>Our internal computer systems, or those of any of our CROs, manufacturers, other contractors or consultants or potential future collaborators, may fail or suffer actual or suspected security incidents, data breaches or other unauthorized or improper access to, use of, or destruction of our proprietary or confidential data, employee data, or personal data. Such security incidents, data breaches, and other unauthorized activities could result in additional costs, loss of revenue, significant liabilities, harm to our brand, material disruption of our operations, and potentially significant delays in our delivery to market.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Despite the implementation of security measures, our systems and the systems of our third-party CROs, other contractors (including sites performing our clinical trials) and consultants may be vulnerable to breakdown or other damage or interruption from service interruptions, system malfunction, natural disasters, terrorism, war and telecommunication and electrical failures, as well as security incidents or data breaches. We and the third parties upon which we rely face a variety of evolving threats, including from inadvertent or intentional actions by our employees, contractors, consultants, business partners, and/or other third parties as well as from cyber-attacks by malicious third parties (including the deployment of harmful malware, ransomware, denial-of-service attacks, social engineering (including phishing attacks) and other means to affect service reliability and threaten the confidentiality, integrity and availability of information). Security incidents, data breaches and other adverse activity may compromise our system infrastructure or lead to the loss, destruction, alteration or dissemination of, or damage to, our data. These attacks and activity are also being facilitated or enhanced by evolving technologies, including artificial intelligence. The risk of a security incident, data breach or other disruption through cyber-attacks has generally increased as the number, intensity and sophistication of attempted attacks from around the world have increased. Attempts to disrupt or gain unauthorized access to us and our third-party vendors’ information systems from malicious third parties or insider threats may incorporate widely varying and frequently changing tactics, which may be enhanced or facilitated by artificial intelligence. Also, many of our employees are working remotely. As a result, we may have increased cybersecurity and data security risks, due to increased use of home wi-fi networks and virtual private networks, as well as increased disbursement of physical machines. While we implement IT controls to reduce the risk of a security incident or data breach, there is no guarantee that these measures will be adequate to safeguard all systems.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Like other companies in the industry, we, and our third party vendors, have experienced threats and security incidents relating to their information technology systems and infrastructure. To the extent that any disruption, security incident, or data breach were to result in a loss, destruction, unavailability, alteration or dissemination of, or damage to, our data (including confidential information and personal data) or applications, or for it to be believed or reported that any of these occurred, we could incur liability and reputational damage. Further, in such an event, the development and commercialization of our product candidates could be delayed. There can be no assurance that our data protection efforts, or the efforts or investments of CROs, consultants or other third parties, will prevent significant breakdowns, data breaches or other security incidents that cause loss, destruction, unavailability, alteration or dissemination of, or damage to, our data. Such events could have a material adverse effect upon our reputation, business, operations or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as well as claims or investigations from regulators or other third parties. Furthermore, significant disruptions of our internal information technology systems, security incidents or data breaches could result in the loss, misappropriation, and/or unauthorized access, use, or disclosure of, or the prevention of access to, data (including trade secrets or other confidential information, intellectual property, proprietary business information, and personal data), which could result in financial, legal, business, and reputational harm to us. Such harm may include significant expenses, remediation costs, litigation, disputes, claims by third parties and regulatory actions or investigations. For example, any such event that leads to unauthorized access, use, or disclosure of personal data, including personal data regarding our clinical trial subjects or employees, could harm our reputation directly, compel us to comply with federal and/or state breach notification laws and foreign law equivalents, subject us to financial exposure related to the investigation of the security incident or data breach (including cost of forensic examinations), subject us to mandatory corrective action, and otherwise subject us to liability under laws and regulations that protect the privacy and security of data, which could result in significant legal and financial exposure and reputational damages that could potentially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Notifications, follow-up actions, claims and investigations related to a security incident or data breach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data breaches, and we may face increased costs and requirements to expend substantial resources in the event of an actual or perceived security incident or data breach. We also rely on third parties to manufacture our product candidates, and similar events relating to their computer systems could also have a material adverse effect on our business. To the extent that any disruption, data breach or security incident were to result in a loss, destruction or alteration of, or damage to, our data (including personal data), or inappropriate disclosure of confidential or proprietary information, we could be exposed to litigation and governmental investigations. Moreover, the further development and commercialization of our product candidates could be delayed, and we could be subject to significant fines or penalties for any noncompliance with state, federal and/or international privacy and security laws.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those contracts are sufficient to protect us from liabilities, damages, or claims related to our privacy and data security obligations. Our insurance policies may not be adequate to compensate us for the potential losses arising from any such disruption in, or failure, security incident, or data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our merit, could be costly and divert management attention.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updating of our business systems could result in implementation issues and business disruptions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and will continue to, update and consolidate systems and automate processes across many parts of our business, using a variety of systems, including the implementation of new enterprise resource planning (“ERP”) software. Specifically, we implemented a new ERP system as of January 1, 2026. The expansion and ongoing implementation of operational systems may occur at a future date based on value to the business. In general, the process of planning and preparing for these types of integrated, wide-scale implementations is highly complex and success requires addressing a number of challenges, including information security assessment and remediation, data conversion, network and system cutover, user training, and integration with existing processes or systems. Incongruities in any of these areas could cause operational problems during implementation including inconsistent practices, delayed reporting, billing errors, and accounting errors.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may use and integrate artificial intelligence into our business processes, and this innovation presents risks and challenges that could affect our adoption, and therefore our business. Use of this technology could pose cybersecurity, data privacy, IT, intellectual property, regulatory, legal, operational, competitive, reputational and other risks and challenges that could affect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rapid evolution of artificial intelligence will require the application of significant resources to design, develop, test and maintain our business processes to help ensure that artificial intelligence is implemented in accordance with applicable law and regulation and in a socially responsible manner and to minimize any real or perceived unintended harmful impacts. The development of artificial intelligence models requires resources for design, development, testing and maintenance. If we enable or uses models that contain actual or perceived biases, or otherwise draw controversy due to perceived or actual negative societal impact, we may experience brand or reputational harm, competitive harm or legal liability.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addition, the use of artificial intelligence technologies can give rise to intellectual property and data privacy risks, including the disclosure or compromise of our confidential information or other proprietary intellectual property through the use of generative AI tools, or the ability to assert or defend ownership rights in intellectual property created with the use of generative artificial intelligence tools.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Further,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originally entered into force on August 1, 2024, and is expected to undergo amendments as introduced in the EU’s November 2025 Digital Omnibus on AI. As enacted, the AI Act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Likewise, in the U.S., the regulatory environment is complex and uncertain. President Trump's Executive Order "Ensuring a National Policy Framework for Artificial Intelligence," effective December 11, 2025, directed federal agency reviews of state AI laws and coordination between White House advisors and Congress to reach a legislative proposal for a uniform federal AI policy framework. At the same time, several states, including Colorado and California, passed laws that regulate various facets of AI, some of which have taken effect and will continue to take effect through 2026 and beyond. These laws address a wide range of AI-related topics, including consequential decisions, transparency, training data, among others, and it remains unclear which requirements, if any, will be superseded by the Executive Order. So far, these efforts have not been successful in curtailing state action on AI regulation, contributing to a complicated legislative patchwork, which may be litigated in state and federal courts. Various federal and state regulators have also issued guidance and focused enforcement efforts on the use of AI in regulated sectors. The FDA, for example, issued draft guidance on the use of artificial intelligence in regulatory decision-making for drug and biological products that centers on the context of use while establishing a credibility assessment framework for establishing and evaluating AI model outputs intended to support regulatory decision-making. If we develop or use AI systems that are governed by the these laws or regulations, including as informed by regulatory guidance,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pStyle w:val="TextBody"/>
        <w:bidi w:val="0"/>
        <w:jc w:val="both"/>
        <w:rPr>
          <w:rFonts w:ascii="Times New Roman" w:hAnsi="Times New Roman"/>
          <w:b/>
          <w:i/>
          <w:color w:val="000000"/>
          <w:sz w:val="20"/>
        </w:rPr>
      </w:pPr>
      <w:r>
        <w:rPr>
          <w:rFonts w:ascii="Times New Roman" w:hAnsi="Times New Roman"/>
          <w:b/>
          <w:i/>
          <w:color w:val="000000"/>
          <w:sz w:val="20"/>
        </w:rPr>
        <w:t>Our operations are vulnerable to interruption by flood, fire, earthquakes, power loss, telecommunications failure, terrorist activity, pandemics and other events beyond our control, which could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corporate headquarters are located in South San Francisco, California. We have not undertaken a systematic analysis of the potential consequences to our business and financial results from a major flood, fire, earthquake, power loss, telecommunications failure, terrorist activity, pandemic or other disasters and we do not have a recovery plan for such disasters. In addition, we do not carry sufficient insurance to compensate for actual losses from interruption of our business that may occur, and any losses or damages incurred by us could harm our operations and financial condition and increase costs and expenses.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never commercialized a product candidate as a company before. If we are unable to establish sales or marketing capabilities or enter into agreements with third parties to sell or market our product candidates, we may not be able to successfully sell or market our product candidates that obtain regulatory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never commercialized a product and currently do not have and has never had a significant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 variety of risks associated with marketing our product candidates internationally could materially adversely affect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seek regulatory approval of our product candidates outside of the U.S. and, accordingly, we expect that it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differing regulatory requirements and reimbursement regimes in foreign countries, such as the lack of pathways for accelerated drug approval, may result in foreign regulatory approvals taking longer and being more costly than obtaining approval in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regulatory authorities may disagree with the design, implementation or results of our clinical trials or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pandemics or other public health emergencies, natural disasters and geopolitical events on our ability to produce our product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in countries where labor unrest is more common than in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events, including war and terrorism, trade policies, treaties and tariffs.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and other risks associated with international operations may materially adversely affect our ability to attain or maintain profitable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the U.S. Treasury Department and other applicable tax authorities.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to offset future taxable income may be limited.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federal net operating loss (“NOL”) carryforwards may be unavailable to offset future taxable income because of restrictions under U.S. tax law. Under the Tax Cut and Jobs Act, as amended by the Coronavirus Aid, Relief, and Economic Security Act, our federal NOLs may be carried forward indefinitely, but for taxable years beginning after December 31, 2020, the deductibility of federal NOL carryforwards generated in tax years beginning after December 31, 2017 is limited to 80% of our current year taxable income. As of December 31, 2025, we had available federal NOL carryforwards of approximately $148.8 million and available state NOL carryforwards of approximately $129.8 million.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under Section 382 of the Internal Revenue Code of 1986, as amended, if a corporation undergoes an “ownership change” (generally defined as a cumulative change in the corporation’s ownership by “5-percent shareholders” that exceeds 50 percentage points (by value) over a rolling three-year period), the corporation’s ability to use its pre-change NOL carryforwards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There is also a risk that due to regulatory changes, such as suspensions on the use of NOL carryforwards, or other unforeseen reasons, our existing NOL carryforwards could expire or otherwise be unavailable to offset future income tax liabilities. Our ability to utilize our NOL carryforwards could have a material adverse effect on our cash flows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evaluate various acquisition opportunities and strategic partnerships, including licensing or acquiring complementary products, product candidates, intellectual property rights, technologies or businesses. Any potential acquisition or strategic partnership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assumption of additional indebtedness or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assimilation of operations, intellectual property, products and product candidates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00" w:after="283"/>
        <w:jc w:val="both"/>
        <w:rPr>
          <w:rFonts w:ascii="Times New Roman" w:hAnsi="Times New Roman"/>
          <w:sz w:val="20"/>
        </w:rPr>
      </w:pPr>
      <w:r>
        <w:rPr>
          <w:rFonts w:ascii="Times New Roman" w:hAnsi="Times New Roman"/>
          <w:b/>
          <w:i/>
          <w:color w:val="000000"/>
          <w:sz w:val="20"/>
        </w:rPr>
        <w:t>Adverse events in the field of oncology or the biopharmaceutical industry could damage public perception of our current or future product candidates and negatively affect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commercial success of our products, if approved,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 pathway mutations, is novel and unproven. Adverse events in clinical trials of our product candidates, or post-marketing activities, or in clinical trials of others developing similar products or that are related to approved targeted therapies, particularly those targeting oncogenic RAS pathway mutations, including sotorasib and adagrasib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 candidates or products, if approved, may not be accepted by the general public or the medical community.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adverse events in oncology or the biopharmaceutical industry could also result in greater government regulation, stricter labeling requirements and potential regulatory delays in the testing or approvals of our products. Any increased scrutiny could delay or increase the costs of obtaining marketing approval for our current or future product candidates.</w:t>
      </w:r>
    </w:p>
    <w:p>
      <w:pPr>
        <w:pStyle w:val="TextBody"/>
        <w:bidi w:val="0"/>
        <w:spacing w:before="200" w:after="283"/>
        <w:jc w:val="both"/>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Derivation proceedings provoked by third parties or brought by us or declared by the U.S. Patent and Trademark Office (“USPTO”) may be necessary to determine the priority of inventions with respect to one or more of our patents or patent applications or those of our future licensors. An unfavorable outcome may require us to cease using the related technology or to attempt to license rights to it from the prevailing party. our business could be adversely affected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and development programs, license necessary technology from third parties or enter into development or manufacturing partnerships that would help us bring our product candidates to market.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unable to obtain, maintain and enforce patent protection for our technology and product candidates, or if the scope of the patent protection obtained is not sufficiently broad, our competitors could develop and commercialize technology and products similar or identical to our, and our ability to successfully develop and commercialize our technology and product candidates may be adversely affected.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success depends in large part on our ability to obtain and maintain protection of the intellectual property rights we own (either solely and jointly with others), or may in the future license from third parties (in particular, worldwide patents relating to any proprietary technology and product candidates we develop). We seek to protect our proprietary position by filing patent applications in the U.S. and select other countries related to our technologies and product candidates that are important to our business and by in-licensing intellectual property related to such technologies and product candidates. We do not yet have issued patents for all of our most advanced product candidates in all markets in which we may commercialize them, but we continue to actively pursue patent protection for our technology and product candidates in certain jurisdictions around the world. However,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or the methods of use or manufacture of those products. If we are unable to obtain and maintain meaningful patent protection in jurisdictions important to our business for our product candidates, their respective components, formulations, combination therapies, methods used to manufacture them and methods of treatment, or other proprietary technologies, our business, financial condition, results of operations and prospects could be adversely affected.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or defend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involving technology that we may license from third parties, we may not have the sole right to control the preparation, filing and prosecution of patent applications or to maintain, enforce and defend the in-licensed patents. Therefore, any in-licensed patents and applications may not be prepared, filed, prosecuted, maintained, defended and enforced in a manner consistent with the best interests of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patent rights of pharmaceutical and biotechnology companies, like us, generally are highly uncertain, involve complex legal and factual questions and have been the subject of much litigation in recent years. No consistent policy regarding the breadth of claims allowed in biotechnology and pharmaceutical patents, particularly those related to oncology, has emerged in the U.S. The relevant patent laws and their interpretation outside of the U.S. are also uncertain. Various courts, including the U.S. Supreme Court, have rendered decisions that affect the scope of patent eligibility of certain inventions or discoveries relating to biotechnology. These decisions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conclude, among other things, that abstract ideas, natural phenomena and laws of nature are not themselves patent eligible subject matter. Precisely what constitutes a law of nature or abstract idea is uncertain, and certain aspects of our technology could be considered ineligible for patenting under applicable law. In addition, the scope of patent protection outside the U.S. is uncertain, and laws of foreign countries may not protect our rights to the same extent as the laws of the U.S. or vice versa. For example, European patent law precludes the patentability of methods of treatment of the human body by surgery or therapy. We cannot predict whether the patent applications we are currently pursuing will issue as patents that protect our technology and product candidates, in whole or in part, in any particular jurisdiction or whether the claims of any issued patents will provide sufficient protection from competitors. Changes in either the patent laws or interpretation of the patent laws in the U.S. or other countries may diminish the value of our patents and our ability to obtain, protect, maintain, defend and enforce our patent rights, narrow the scope of our patent protection and, more generally, affect the value or narrow the scope of our patent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third parties may have intellectual property rights relating to our product candidates of which we are unaware. For example, third parties may have blocking patents that could be used to prevent us from commercializing our product candidates and practicing our proprietary technology. Publications of discoveries in the scientific literature often lag behind the actual discoveries, and patent applications in the U.S. and other jurisdictions are typically not published until 18 months after filing, or in some cases are not published at all. Therefore, neither we nor our future licensors can know with certainty whether either we or our future licensors were the first to make the inventions claimed in the patent applications we own or any patents or patent applications we may own or in-license in the future, or that either we or any of our future licensors were the first to file for patent protection of such inventions. As a result, the issuance, scope, validity, enforceability and commercial value of our owned and future in-licensed patent rights are uncertain. For example, currently unpublished patent applications may later publish and limit our ability to obtain valid and enforceable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Moreover, any issued patents we do obtain or in-license may be challenged, invalidated, or circumvented. we or our future licensors may be subject to a third-party pre-issuance submission of prior art to the USPTO, or to a foreign patent office,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our products without infringing third-party patent rights. If the breadth or strength of protection provided by any patents we obtain and patent applications is threatened, regardless of the outcome, it could dissuade companies from collaborating with us to license, develop or commercialize current or future product candidates. Moreover, our competitors may independently develop similar technologies that are outside the scope of the rights granted under any issued patents we may obtain. For these reasons and others, we may face competition with respect to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the coverage claimed in a patent application can be significantly reduced before the patent is issued, and our scope can be reinterpreted after issuance. Even if our owned and any future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any patents we do obtain may be challenged in the courts or patent offices in the U.S.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challenges also may result in substantial cost and require significant time from our management and employees, even if the eventual outcome is favorable to us. Furthermore, our competitors may be able to circumvent any patents we obtain or in-licenses in the future by developing similar or alternative technologies or products in a non-infringing manner. For these reasons, even if we are successful in obtaining patents or in-licensing patents in the future, our patent portfolio may not provide us with sufficient rights to exclude others from using or commercializing technology and products similar or identical to any of our technology and product candidates for any period of time.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Patent terms may not protect our competitive position for an adequate amount of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Issued patents can provide protection for varying periods of time, depending, for example, upon the type of patent, the date of filing of the patent application, the date of patent issuance and the legal term of patents in the countries in which they are obtained. However, patents have a limited lifespan. In the U.S., if all maintenance fees are timely paid, the natural expiration of a patent is generally 20 years from its earliest U.S. non-provisional filing date. The term of a patent outside of the U.S. varies in accordance with the laws of the foreign jurisdiction.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such candidates might expire before or shortly after such candidates are approved for use or commercialized.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to patent laws in the U.S. and other jurisdictions could diminish the value of patents in general, thereby impairing our ability to protect our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either the patent laws or interpretation of patent laws in the U.S. or other jurisdictions could increase the uncertainties and costs surrounding the prosecution of our owned and any future in-licensed patent applications and the maintenance, enforcement or defense of any issued patents we may obtain or in-license.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patent positions of companies in the development and commercialization of pharmaceuticals and biopharmaceuticals are particularly uncertain. For example, the USPTO regularly revises its policies and procedures for patent examination. Future political changes may impose new difficulties in obtaining patent protection. This combination of events has increased uncertainty with respect to the validity and enforceability of patents once obtained. Similarly, foreign courts and patent offices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patent protection in the future.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become involved in lawsuits to protect or enforce our patent or other intellectual property rights, which could be expensive, time-consuming and unsuccessful.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Competitors and other third parties may infringe, misappropriate or otherwise violate patents or other intellectual property that we own or licenses. As a result, we or our future licensors may need to file infringement, misappropriation or other intellectual property claims, which can be expensive and time-consuming. Any claims we assert against others could provoke them to assert counterclaims against us alleging that we infringe, misappropriate or otherwise violate their intellectual property rights. Our ability to stop third parties from making, using, selling, offering to sell, or importing products that infringe our intellectual property will depend in part on the extent to which we obtain and enforces patent claims that cover our technology, inventions, and improvements.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Furthermore, the issuance of a patent is not conclusive as to its inventorship, scope, validity or enforceability. In a patent infringement proceeding, the perceived infringers could counterclaim that the patents us or our licensors have asserted are invalid or unenforceable. In patent litigation in the U.S., defendant counterclaims alleging invalidity or unenforceability are common. Grounds for a validity challenge could be an alleged failure to meet any of several statutory requirements, including lack of novelty, obviousness, or non- enablement. Grounds for an unenforceability assertion include an allegation that someone connected with prosecution of the patent withheld relevant information from the USPTO, or made a misleading statement, during prosecution. Third parties may institute such claims before administrative bodies in the U.S. or abroad, even outside the context of litigation. Such mechanisms include re-examination, post-grant review, inter partes review, interference proceedings, derivation proceedings and equivalent proceedings in foreign jurisdictions, such as opposition proceedings in the European Patent Office. The outcomes of allegations of invalidity or unenforceability are unpredictable. With respect to validity, for example, even if we are successful in obtaining patents or in-licensing patents, we cannot be certain that there is no invalidating prior art of which the patent examiner and we or our future licensing partners were unaware during prosecution.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adverse result in any such proceeding could put one or more of the patents that we may own or in-license in the future at risk of being invalidated or interpreted narrowly, and could put any of our present or future owned or in-licensed patent applications at risk of not yielding an issued patent. A court may also refuse to stop a third party from using the technology at issue in a proceeding, for example, on the basis that we owned or in-licensed patents do not cover that technology. Furthermore, if the breadth or strength of protection provided by our patent applications and any future patents is threatened, regardless of the outcome, it could dissuade companies from collaborating with us to license, develop or commercialize current or future products, diagnostic tests or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interference or derivation proceedings provoked by third parties or brought by us or declared by the USPTO may be necessary to determine the priority of inventions with respect to our patent applications or any future patents. An unfavorable outcome could require us to cease using the related technology or to attempt to license rights to it from the prevailing party. Our business could be adversely affected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funds as needed to continue our clinical trials and discovery programs, license necessary technology from third parties, or enter into development partnerships that would help us bring our product candidates to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or trade secrets could be compromised by disclosure during litigation. Any of the foregoing could allow third parties to develop and commercialize competing technologies and products and have a material adverse impact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Third parties may allege that we are infringing, misappropriating or otherwise violating their intellectual property rights, the outcome of which would be uncertain and could have a material adverse effect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have been and may in the future be threatened with, and may in the future become party to, adversarial proceedings or litigation regarding intellectual property rights with respect to our technology and product candidates, including interference proceedings, post grant review, inter partes review and derivation proceedings before the USPTO and similar proceedings in foreign jurisdictions. Numerous U.S. and foreign issued patents and pending patent applications, which are owned by third parties, including our competitors, exist in the fields in which we are pursuing product candidates. As the biotechnology and pharmaceutical industries expand and more patents are issued, the risk increases that our technologies or product candidates may be subject to claims that they infringe the patent rights of third parties. Our competitors and others may have significantly larger and more mature patent portfolios than we have. In addition, future litigation may be initiated by patent holding companies or other third parties who have no relevant product or service revenue and against whom our future patents, if any, may provide little or no deterrence or protection. Competitors may also assert that our product candidates infringe their intellectual property rights as part of a business strategy to impede our successful entry into those markets.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legal threshold for initiating litigation or contested proceedings is low, so that even lawsuits or proceedings with a low probability of success might be initiated and require significant resources and management attention to defend. The risks of being involved in such litigation and proceedings may increase if and as our product candidates near commercialization and as we gain greater visibility as a public company. Third parties may assert infringement claims against us based on existing patents or patents that may be granted in the future, regardless of merit. Even if we believe third-party intellectual property claims are without merit, there is no assurance that a court would find in our favor on questions of infringement, validity, enforceability or priority. Because patent applications can take many years to issue, pending patent applications may result in issued patents that our product candidates infringe. For example, there may be third-party patents or patent applications with claims to materials, formulations, methods of manufacture or methods for treatment related to the discovery, use or manufacture of our product candidates or technologies. We may not be aware of all such intellectual property rights potentially relating to our technology and product candidates, or we may incorrectly conclude that third-party intellectual property is invalid or that our activities and product candidates do not infringe the intellectual property rights of third parties. Thus, we do not know with certainty that our technology and product candidates, or our development and commercialization thereof, do not and will not infringe, misappropriate or otherwise violate any third party’s intellectual property rights. Parties making claims against us may also obtain injunctive or other equitable relief. For example, if any third-party patents were held to cover the manufacturing process of our product candidates, any molecules formed during the manufacturing process or any final product itself, the holders of any such patents may be able to block our ability to commercialize such product candidates. In the event of a successful claim of infringement against us, we may also have to pay substantial damages, including treble damages and attorneys’ fees for willful infringement, indemnify customers, collaborators or other third parties, seek new regulatory approvals, and redesign our infringing products, which may not be possible or practical. If we are found to infringe, misappropriate or otherwise violate a third party’s intellectual property rights, we may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Claims that we have misappropriated the confidential information, trade secrets or other intellectual property rights of third parties could have a similar material adverse effect on our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unable to obtain licenses from third parties on commercially reasonable terms, our business could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It may be necessary for us to use the patented or proprietary technology of third parties to commercialize our products, in which case we would be required to obtain a license from the third parties. 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sell,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If we are unable to license such technology, or if we are forced to license such technology on unfavorable terms, such as substantial licensing or royalty payments, our business could be materially and adversely affected. If we are unable to obtain a necessary license, the third parties owning such intellectual property rights could seek an injunction prohibiting our sales or we may be unable to otherwise develop or commercialize the affected product candidates, which could materially harm our business. Even if we are able to obtain a license, it may be non-exclusive, thereby giving our competitors access to the same technologies licensed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unable to obtain rights to required third-party intellectual property rights, we may be required to expend significant time and resources to redesign our technology, product candidates, or the methods for manufacturing they nor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fail to comply with our obligations in any future intellectual property licenses with third parties that we may enter into, or otherwise experiences disruptions to our business relationships with future licensors, we could lose intellectual property rights that are important to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in the future enter into licensing and funding arrangements with third parties that may impose, among other things, diligence, development, and commercialization timelines, milestone payment, royalty, insurance and other obligations on us. If we fail to comply with those obligations,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or our counterparties may require us to grant them certain rights. Such an occurrence could materially adversely affect the value of any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us having to negotiate new or reinstated agreements with less favorable terms, cause us to lose our rights under these agreements, including our rights to important intellectual property or technology, which would have a material adverse effect on our business, financial condition, results of operations, and prospects, or impede, delay or prohibit the further development or commercialization of, one or more product candidates that rely on such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example, disputes may arise regarding intellectual property that is or becomes subject to a licensing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matters of contract interpretation;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the intellectual property rights of the licensor that are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our licensee or our licensor had the right to grant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third parties are entitled to compensation or equitable relief, such as an injunction, for our use of the intellectual property rights without their authorization;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involvement in the prosecution of licensed patents and our licensors’ overall patent enforcement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amounts of royalties, milestones or other payments due under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sublicensing of patent and other rights under collaborative development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by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application of patented technology.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do not prevail in such disputes, we may lose any or all of our rights under such license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our licensing arrangements on commercially acceptable terms, we may be unable to successfully develop and commercialize the affected technology and product candidates, which could have a material adverse effect on our business, financial condition, results of operations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future licensors may rely on third-party consultants or collaborators or on funds from third parties such that our licensors are not the sole and exclusive owners of the patents and patent applications we may in-license. If other third parties have ownership rights to patents and/or patent applications we may in-license, they may be able to license such patents to our competitors, and our competitors could market competing products and technology. In addition, we may need the cooperation of any such co-owners of our in-licensed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patents in order to enforce such patents against third parties, and we may not receive such cooperation. This could have a material adverse effect on our competitive position, business, financial condition, results of operations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Despite our efforts, our future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could seek regulatory approval for and market products and technologies identical to us. This could have a material adverse effect on our competitive position,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us, and our ability to successfully commercialize our technology and products will be impaired.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commercial success will depend in part on our ability to obtain and maintain proprietary or intellectual property protection in the United States and other countries for our product candidates, and our core technologies, including our novel target discovery technology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and proprietary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attempt to develop and commercialize competitive products in foreign countries where we do not have any patent protection and/or where legal recourse may be limited. This may have a significant commercial impact on our foreign business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In addition, the laws of some foreign countries do not protect intellectual property rights to the same extent as federal and state laws in the U.S., and even where such protection is nominally available, adequate judicial and governmental enforcement of such intellectual property rights may be lacking. Consequently, we may not be able to prevent third parties from practicing our inventions in all countries outside the U.S., or from selling our inventions in such countries or importing products made using our inventions into the U.S. or other jurisdictions. Competitors may use our technologies in jurisdictions where we have not obtained patent protection to develop our own products and, further, may export otherwise infringing products to territories where we do obtain patent protection or future licenses but enforcement is not as strong as that in the U.S. These products may compete with our products, and our patents or other intellectual property rights may not be effective or sufficient to prevent them from competing.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and biotechnology products, which could make it difficult for us to stop the infringement of any patents we do obtain or in-license or marketing of competing products in violation of our intellectual property and proprietary rights generally. In addition, certain jurisdictions do not protect, to the same extent as the U.S. or at all, inventions that constitute new methods of treatment.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Proceedings to enforce our intellectual property and proprietary rights in foreign jurisdictions could result in substantial costs and divert our efforts and attention from other aspects of our business, could put any patents we obtain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work with third-party contractors located in China to develop certain of our intellectual property. On December 1, 2020, the Chinese government implemented a new Export Control Law which regulates the export of certain technologies outside of China. As currently implemented, we do not believe the Export Control Law applies to our product candidates, and we do not expect it to impact our business; however the Export Control Law could be amended in the future in a way that could adversely affect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do obtain or in-license patents and we or any of our licensors are forced to grant a license to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with respect to any patents relevant to our business, our competitive position may be impaired and our business, financial condition, results of operations, and prospects may be adversely affected. </w:t>
      </w:r>
    </w:p>
    <w:p>
      <w:pPr>
        <w:pStyle w:val="TextBody"/>
        <w:bidi w:val="0"/>
        <w:spacing w:before="200" w:after="283"/>
        <w:jc w:val="both"/>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products that are similar to our product candidates or utilize similar technology but that are not covered by the claims of the patents that we license or may own;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or collaborators, might not have been the first to apply for the issued patent or pending patent application that we license or own now or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or collaborators, might not have been the first to file patent applications covering certain of our or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owned or licensed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our present or future pending patent applications (whether owned or licensed) will not lead to issued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holds rights to may be held invalid or unenforceable, including as a result of legal challenges by our competitors or other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Should any of these events occur, they could have a material adverse effect on our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or our future licensors may be subject to claims that current or former employees, collaborators, CROs, universities or other third parties have an interest in our owned or future in-licensed patents and patent applications, trade secrets or other intellectual property as an inventor, co-inventor, owner or co-owner. For example, our or our future licensors may have inventorship or ownership disputes that arise from conflicting obligations of employees, consultants, CROs or others who are involved in developing our product candidates. Litigation may be necessary to defend against these and other claims challenging inventorship or ownership of any future owned or in-licensed patents, trade secrets or other intellectual property. If we or our licensors fail in defending any such claims, we may be required to pay monetary damages and we may also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Additionally, if residents of other countries can claim inventorship of our patents and patent applications, we may be required to fulfill additional obligations. For example, some countries, including China, require a patent owner to provide remuneration to inventors who assign rights to inventions developed during course of their employment. Litigation may be necessary to defend against claims based on foreign inventors. Any of the foregoing could have a material adverse effect on our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identify relevant third-party patents or pending patent applications or may incorrectly interpret the relevance, scope or expiration of a third-party patent which might adversely affect our ability to develop and market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developing certain product candidates in highly competitive areas and cannot guarantee that any patent searches or analyses that we may conduct, including the identification of relevant patents or pending patent applications, the scope of patent claims or the expiration of relevant patents, are complete or thorough, nor can we be certain that we have identified each and every third-party patent and pending patent application in the U.S. and abroad that is or may be relevant to or necessary for the commercialization of our product candidates in any jurisdiction. For example, U.S. patent applications filed before November 29, 2000 and certain U.S. patent applications filed after that date that will not be filed outside the U.S. remain confidential until patents issue. Patent applications in the U.S.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elsewhere are published approximately 18 months after the earliest filing for which priority is claimed, with such earliest filing date being commonly referred to as the priority date. Therefore, patents or pending patent applications covering our product candidates could have been or may be filed in the future by third parties without our knowledge. Additionally, patents and pending patent applications that have been published can, subject to certain limitations, be later amended in a manner that could cover our product candidates or the manufacturing or use of our product candidates.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 candidates. We may incorrectly determine that our product candidates are not covered by a third-party patent or pending patent application or that we are otherwise free to operate in relation to our product candidates. We may also incorrectly predict whether a third party’s pending application will issue with claims of relevant scope, or incorrectly determine the expiration date of any patent in the U.S. or abroad that we consider relevant. Any failure by us to identify and correctly interpret relevant patents or pending patent applications may negatively impact our ability to develop and market our product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fail to identify or correctly interpret relevant patents, we may be subject to infringement claims or otherwise be forced to obtain licenses to relevant patents or pending patent applications, which may require us to pay significant royalties, license fees or other payments. We cannot guarantee that we will be able to successfully settle or otherwise resolve any infringement claims. If we fail in any such dispute, in addition to being forced to pay damages, potentially including in the form of future royalties, which may be significant, we may be temporarily or permanently prohibited from commercializing any of our product candidates that are held to be infringing. We might, if possible, also be forced to redesign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Inventions contained within our owned and in-licensed patents and patent applications have been, and we may in the future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exercises its “march-in” rights in any future intellectual property rights that are generated through the use of U.S. government funding or grants, we could be forced to license or sublicense intellectual property developed by us or that we may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be subject to claims by third parties asserting that our employees, consultants or contractors have wrongfully used or disclosed confidential information of such third parties, or that they have wrongfully used or disclosed alleged trade secrets of their current or former employers, or that we have misappropriated their intellectual property, or that they own what we regards as our own 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Many of our employees, physician-scientist partners, consultants and contractors are or were previously employed at or engaged by universities or other pharmaceutical or biotechnology companies, including our competitors or potential competitors. Many of them executed proprietary rights, non- disclosure and/or non-competition agreements in connection with such previous employment or engagement. Although we try to ensure that the individuals who work for us do not use the intellectual property rights, proprietary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know-how or trade secrets of others in their work for us, we may be subject to claims that we or they have, inadvertently or otherwise, used, infringed, misappropriated or otherwise violated the intellectual property rights, or disclosed the alleged trade secrets or other proprietary information, of these former employers, competitors or other third parties. We may also be subject to claims that we have improperly used or obtained such trade secrets. Litigation may be necessary to defend against these claims. Any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while it is our policy to require our employees, physician-scientist partners, consultants and contractors who may be involved in the development of intellectual property to execute agreements assigning such intellectual property to us, we may be unsuccessful in obtaining such an agreement from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Additionally, assignment agreements and related agreements may be interpreted under the laws of a foreign country, which may be unpredictable. Such claims could have a material adverse effect on our business, financial condition, results of operations,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fail in prosecuting or defending any such claims, we may be required to pay monetary damages, and we may also lose valuable intellectual property rights or personnel, which could have a material adverse effect on our competitive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and other proprietary information, our business and competitive position would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seeking patents for some of our technology and product candidates, we also rely on trade secrets and confidentiality agreements to protect our unpatented know-how, technology and other proprietary information to maintain our competitive position. We seek to protect our trade secrets and other proprietary technology, in part, by entering into non-disclosure and confidentiality agreements with parties who have access to them, such as our employees, consultants, corporate collaborators, outside scientific collaborators, CROs, contract manufacturers, consultants, advisors and other third parties.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unpublished patent applications or other confidential research,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or those to whom they communicate such trade secrets, from using that technology or information to compete with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we expect that, over time, our trade secrets, know-how and proprietary information may be disseminated within the industry through independent development, the publication of journal articles and the movement of personnel to and from academic and industry scientific positions. Consequently, without costly efforts to protect our proprietary technology, we may be unable to prevent others from exploiting that technology, which could affect our ability to expand in domestic and international markets. If any of our trade secrets were to be disclosed to or independently developed by a competitor or other third party, our competitive position would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trade secrets by maintaining physical security of our premises and physical and electronic security of its information technology systems. These security measures may be breached or otherwise accessed in an unauthorized manner, and we may not have adequate remedies for any breach.</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name recognition in our markets of interest and our business may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our trademarks and trade names are not adequately protected, we may not be able to build name recognition in our markets of interest and our business may be adversely affected. Our trademarks or trade names may be challenged, infringed, circumvented, declared generic or determined to be infringing on other marks. As a means to enforce our trademark rights and prevent infringement, we may be required to file trademark claims against third parties or initiate trademark opposition or cancellation proceedings. This can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 time-consuming and expensive, particularly for a company of our size. In addition, in an infringement proceeding, a court may decide that a trademark of our is not valid or is unenforceable, or may determine another trademark is not infringing our trademarks. We may not be able to protect our rights to these trademarks and trade names or may be forced to stop using these trademarks or trade names, which we need to build name recognition among potential collaborators or customers in our markets of interest. At times, competitors may adopt trademarks or trade names similar to our, thereby impeding our ability to build brand identity and possibly leading to market confusion. In addition, there could be potential trademark or trade name infringement claims brought by owners of other registered trademarks or trade names that incorporate variations of our trademarks or trade names. Over the long term, if we are unable to successfully register our trademarks and trade names and establish name recognition based on our trademarks and trade names, we may not be able to compete effectively and our business may be adversely affected. Our efforts to enforce or protect our proprietary rights related to trademarks and trade names may be ineffective and could result in substantial costs and diversion of resources and could adversely impact our financial condition or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Trademark applications we may file in the future may not proceed to registration and/or may be opposed by third parties. Even if such applications proceed to registration, third parties may challenge our use of such trademarks or seek to invalidate our registration in the future. Other companies in our industry may be using trademarks that are similar to ours and may in the future allege that the use of our trademarks in connection with our products infringes or otherwise violates their trademark rights. Trademark-granting authorities may decide to investigate our trademarks on their own initiative if they believe that there may be potential issues to be resolved. In addition, failure to maintain our trademark registrations, or to obtain new trademark registrations in the future, could limit our ability to protect and enforce our trademarks and impede our marketing efforts in the countries in which we operate. Over the long term, if we are unable to establish brand recognition based on our trademarks and trade names, then we may not be able to compete effectively and our business may be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do not obtain patent term extension in the U.S. under the Hatch-Waxman Act and in foreign countries under similar legislation, which if granted could extend the term of our marketing exclusivity for any product candidates we may develop, our business may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date of the patent. The length of the patent term extension is related to the length of time the drug is under regulatory review. A patent term extension cannot extend the remaining term of a patent beyond a total of 14 years from the date of product approval. In addition, the patent term of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our product candidates receive FDA approval, we expect to apply for patent term extensions on any patents that issue covering those product candidates, there is no guarantee that the applicable authorities will agree with our assessment of whether such extensions should be granted and, even if granted, the length of such extensions. We may not be granted patent term extension either in the U.S. or in any foreign country, even where we obtain a patent that is eligible for patent term extension, if, for example, an applicable government authority determines that we fail to exercise due diligence during the testing phase or regulatory review process, fail to apply within applicable deadlines, fail to apply prior to expiration of relevant patents or otherwise fail to satisfy applicable requirements. Moreover, the term of extension, as well as the scope of patent protection during any such extension, afforded by the governmental authority could be less than we request. If we obtain such an extension, it may be for a shorter period than we had sought.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for any patents we may in-license in the future, we may not have the right to control prosecution, including filing with the USPTO, of a petition for patent term extension under the Hatch-Waxman Act. Thus, if a patent we in-licenses in the future is eligible for patent term extension under the Hatch-Waxman Act, we may not be able to control whether a petition to obtain a patent term extension is filed or whether the requested extension is obtained from the USPTO.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there are detailed rules and requirements regarding the patents that may be submitted to the FDA for listing in the Approved Drug Products with Therapeutic Equivalence Evaluations, or the Orange Book. We may be unable to obtain or in-license patents covering our product candidates that contain one or more claims that satisfy the requirements for listing in the Orange Book. Even if we or our future licensors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b/>
          <w:color w:val="231F20"/>
          <w:sz w:val="20"/>
        </w:rPr>
        <w:t>Risks Related to our Dependence on Third Parties</w:t>
      </w:r>
      <w:r>
        <w:rPr>
          <w:rFonts w:ascii="Times New Roman" w:hAnsi="Times New Roman"/>
          <w:color w:val="231F2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third parties to conduct our preclinical studies and clinical trials, and those third parties may not perform satisfactorily, including failing to meet deadlines for the completion of such trials, research and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utilize and depend upon independent investigators and collaborators, such as medical institutions, CROs, CMOs, and strategic partners (collectively, partners) to conduct and support our preclinical studies and clinical trials under agreements with us and plans to continue to do so for future preclinical studies and clinical trials. These third parties have had and will continue to have a significant role in the conduct of our preclinical studies and clinical trials and the subsequent collection and analysis of data. For example, our partners contribute highly enabling technologies and services that include, among others: (i) clinical conduct support from CROs, (ii) support for our translational research efforts, (iii) crystallography to enable structure-based drug discovery, (iv) biochemical and cell-based assays to guide lead generation and optimization, and (v) patient-derived, cell and xenograft models to translate our findings to the clinical setting.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third parties are not our employees, and except for remedies available to us under our agreements with such third parties, we have limited ability to control the amount or timing of resources that any such third party will devote to our preclinical studies or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have to negotiate budgets and contracts with CROs, clinical trial sites and CMOs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are conducted in accordance with the applicable protocol, legal and regulatory requirements and scientific standards, and our reliance on third parties does not relieve us of our regulatory responsibilities. For example, we remain responsible for ensuring that each of our clinical trials are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current cGMP regulations and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these third parties do not successfully carry out their contractual duties, meet expected deadlines or conduct our clinical trials in accordance with regulatory requirements or our stated protocols, or if these third parties need to be replaced, we will not be able to obtain, or may be delayed in obtaining, marketing approvals for our product candidates and will not be able to, or may be delayed in efforts to,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manufacturing process need to comply with FDA regulations relating to the quality and reliability of such processes. Any failure to comply with relevant regulations could result in delays in or termination of our clinical programs and suspension or withdrawal of any regulatory approvals.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order to commercially produce our products either at a third party’s facility or in any our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authority inspection could significantly impair our ability to develop and commercialize our product candidates, including leading to significant delays in the availability of our product candidates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our third-party manufacturers use hazardous materials in a manner that causes injury or violates applicable law, we may be liable for damages.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U.S. and local laws in other foreign jurisdictions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federal or foreign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decide to establish collaborations but are not able to establish those collaborations on commercially reasonable terms, we may have to alter our development and commercialization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drug development programs and the potential commercialization of our product candidates may require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near and long-term expenditures, issue securities that dilute existing stockholders, or disrupt our management and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face significant competition in seeking appropriate collaborators and the negotiation process is time-consuming and complex. Whether we reach a definitive agreement for a collaboration depends, among other things, upon our assessment of the collaborator’s resources and expertise, the terms and conditions of the proposed collaboration and the proposed collaborator’s evaluation of a number of factors. Those factors may include the design or results of preclinical studies or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discovery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enter into collaborations with third parties for the development and commercialization of product candidates. If those collaborations are not successful, we may not be able to capitalize on the market potential of these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enter into any collaboration arrangements with any third parties for the development and commercialization of our product candidates, we will likely have limited control over the amount and timing of resources that our collaborators dedicate to the development or commercialization of our product candidates. Our ability to generate revenue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 and may not perform their obligations as expected;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grant exclusive rights to our collaborators that would prevent us from collaborating with others;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development of our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may own or co-own intellectual property covering our products or product candidates that result from us collaborating with them, and in such cases, we would not have the exclusive right to develop or commercialize such intellectual property;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Some of the third parties upon whom we currently rely for the supply of the active pharmaceutical ingredients, drug product and starting materials used in our product candidates are our sole source of supply, and the loss of any of these suppliers could delay our development efforts and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API, drug product and starting materials used in our product candidates are currently supplied to us primarily from sole-source suppliers pursuant to quotations or proposals issued on an as-needed basis under master services agreements entered into between us and the corresponding suppliers in the ordinary course, on terms customary in the industry for similarly-situated biopharmaceutical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companies. Our ability to successfully develop our product candidates, and to ultimately supply our commercial products in quantities sufficient to meet the market demand, depends in part on our ability to obtain the API, drug product and starting materials for these products in accordance with regulatory requirements and in sufficient quantities for clinical testing and commercialization.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do have arrangements in place for a redundant or second-source supply of API, drug product or starting materials in the event any of our current suppliers of such API, drug product or starting materials ceases our operations for any reason, although manufacturing with such second-source supply is currently expected to begin in 2026. Although we believe such second-source supply or other alternative second-source supplies could be made available to it on the timelines necessary to operate in accordance with our current business plans, if any of our current or planned third-party suppliers or manufacturers ceases our operations for any reason or is unable or unwilling to supply API, drug product or starting material in sufficient quantities, on the timelines necessary, or at acceptable prices, to meet our needs, it could impede, delay, limit or prevent our development efforts, which could harm our business, results of operations, financial condition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of our product candidates, we intend to identify and qualify additional manufacturers to provide such API, drug product and starting materials prior to or after submission of an NDA to the FDA and/or an MAA to the EMA. We are not certain, however, that our single-source suppliers will be able to meet our demand for our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our products on a timely basis in the past, they may subordinate our needs in the future to our other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Establishing additional or replacement suppliers for the API, drug product and starting materials used in our product candidates, if required, may not be accomplished within the timeframes required to avoid delays in our development and commercialization efforts. When we find a replacement supplier, such replacement supplier would need to be qualified and may require additional regulatory inspection or approval, which could result in delays. While we seek to maintain adequate inventory of the API, drug product and starting materials used in our product candidates, any interruption or delay in the supply of components or materials, or our inability to obtain such API, drug product or starting materials from alternate sources at acceptable prices in a timely manner could impede, delay, limit or prevent our development efforts, which could harm our business, results of operations, financial condition and prospects.</w:t>
      </w:r>
    </w:p>
    <w:p>
      <w:pPr>
        <w:pStyle w:val="TextBody"/>
        <w:bidi w:val="0"/>
        <w:spacing w:before="200" w:after="283"/>
        <w:jc w:val="both"/>
        <w:rPr>
          <w:rFonts w:ascii="Times New Roman" w:hAnsi="Times New Roman"/>
          <w:b/>
          <w:color w:val="231F20"/>
          <w:sz w:val="20"/>
        </w:rPr>
      </w:pPr>
      <w:r>
        <w:rPr>
          <w:rFonts w:ascii="Times New Roman" w:hAnsi="Times New Roman"/>
          <w:b/>
          <w:color w:val="231F20"/>
          <w:sz w:val="20"/>
        </w:rPr>
        <w:t>Risks Related to Operating as a Public Company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There may not be an active trading market for our common stock, which may make it difficult to sell shares of our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active trading market for our common stock may not develop or be sustained. If an active trading market for our common stock does not develop or is not sustained, you may not be able to sell your shares at an attractive price or at all. Furthermore, an inactive market may also impair our ability to raise capital by selling shares of common stock (or securities convertible into or exercisable for shares of our common stock) in the future, and may impair our ability to enter into strategic collaborations or acquire companies or products by using shares of our common stock (or securities convertible into or exercisable for shares of our common stock) as consideration.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market price of our common stock may be volatile, and investors could lose all or part of their investment.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trading price of our common stock is likely to be, highly volatile and subject to wide fluctuations in response to various factors, many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Broad market and industry factors may negatively affect the market price of our common stock, regardless of its actual operating performance. In addition to the factors discussed in this “Risk Factors” section and elsewhere in this report, these factors include, without limitation: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results of INDs, preclinical studies and clinical trials of our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actions with respect to our products or product candidates or our competitors’ products 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our growth rate relative to its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our patent applications, issued patents, or other proprietary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and biotechnology sector;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shares of our common stock by us, our insiders or our other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public health emergencies, natural disasters, or geopolitical events, including civil or political unrest or military conflicts;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industry and market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trading market for our common stock may be influenced by the research and reports that securities or industry analysts publish about us, our business or our market. If any of the analysts who cover our issue adverse or misleading research or reports regarding us, our business model, intellectual property, stock performance or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common stock price or trading volume to decline.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guidance.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measure compensation cost for stock-based awards made to employees at the grant date of the award, based on the fair value of the award, as determined by our Board, and recognizes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our operating results may fluctuate due to a variety of other factors, many of which are outside of our control and may be difficult to predict,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of, and level of investment in, research and development activities relating to our programs, which will change from time to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enroll patients in clinical trials and the timing of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expenditures that we will or may incur to acquire or develop additional product candidates and technologies or other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outcomes of preclinical studies and clinical trials for BBO-8520, BBO-10203 and BBO-11818 and any product candidates from our discovery programs, or competing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to conduct unanticipated clinical trials or trials that are larger or more complex than anticipated;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existing and potential future products that compete with BBO-8520, BBO-10203 and BBO-11818 or any of our discovery programs, and changes in the competitive landscape of our industry, including consolidation among our competitors or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delays in regulatory review or approval of BBO-8520, BBO-10203 and BBO-11818 or product candidates from any of our discovery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for any of our product candidates, if approved, which may fluctuate significantly and be difficult to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risk/benefit profile, cost and reimbursement policies with respect to our product candidates, if approved, and existing and potential future products that compete with BBO-8520, BBO-10203 and BBO-11818 or any of our discovery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BBO-8520, BBO-10203 and BBO-11818 or product candidates from any of our discovery programs, if approved, inside and outside of the U.S., either independently or working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licensing or other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adequately support future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unforeseen business disruptions that increase our costs or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accounting pronouncements or changes in our accounting policies;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changing, volatile and instable global economic and political environment.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future performance.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Several of our principal stockholders own a significant percentage of our Common Stock and can exert significant control over matters subject to stockholder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Holders of 5% or more of our capital stock and our respective affiliates collectively beneficially own in excess of 50% of our outstanding common stock. In addition, several of our directors, including Frank McCormick, Neil Kumar, Raymond Kelleher and Bihua Chen are affiliated with certain of our large stockholders. Additionally, Dr. Kumar, the Chief Executive Officer of BridgeBio Pharma, was appointed as our Executive Chairman in April 2026. Our principal stockholders, acting together or on their own, could exert significant control over matters requiring stockholder approval. For example, they may be able to impact elections of directors, amendments of our certificate of incorporation and bylaws or approval of any merger, sale of assets or other major corporate transaction. This may prevent or discourage unsolicited acquisition proposals or offers for our common stock that investors may feel are in their best interest as one of our stockholders. The interests of this group of stockholders may not always coincide with each investor’s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Future sales, or the perception of future sales, by us or our stockholders in the public market could cause the market price for our common stock to decline.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sale of our securities in the public market,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Shares of common stock reserved for future issuance under our equity incentive plans will become eligible for sale in the public market once those shares are issued, subject to provisions relating to various vesting agreements, lock-up agreements and, in some cases,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limitations on volume and manner of sale applicable to affiliates under Rule 144, as applicable. Our board of directors or the compensation committee thereof may determine the exact number of shares to be reserved for future issuance under our equity incentive plans at our discretion, subject to stockholder approval in the case of our 2025 Plan. We expect to file registration statements on Form S-8 under the Securities Act to register shares of common stock or securities convertible into or exchangeable for shares of common stock issued pursuant to our equity incentive plans. Any such Form S-8 registration statements will automatically become effective upon filing. Accordingly, shares registered under such registration statements will be available for sale in the open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future, we may also issue our securities in connection with investments or acquisitions. The number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cash needs through a combination of public and private equity offerings, debt financings, strategic partnerships and alliances and licensing arrangements. To the extent that we raise additional capital through the sale of equity or convertible debt securities, our stockholders will be diluted, and the terms may include liquidation or other preferences that adversely affect the rights of our stockholders.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future strategic partnerships and alliances and licensing arrangements with third parties, we may have to relinquish valuable rights to our technologies or product candidates or grant licenses on terms unfavorable to us.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increased costs as a result of operating as a public company, and our management devotes substantial time to related compliance initiatives.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public company, we incur significant legal, accounting and other expenses. We are subject to the reporting requirements of the Exchange Act, the Sarbanes-Oxley Act, and the Dodd-Frank Wall Street Reform and Protection Act, as well as rules adopted, and to be adopted, by the SEC and Nasdaq.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We will have to hire additional accounting, finance, and other personnel in connection with becoming a public company. Our management and other personnel devote a substantial amount of time to these compliance initiatives and we cannot accurately predict or estimate the amount or timing of additional costs we may incur to respond to these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as a public company we are required to incur additional costs and obligations in order to comply with SEC rules that implement Section 404 of the Sarbanes-Oxley Act. Under these rules, we are required to maintain effective disclosure and financial controls and to make a formal assessment of the effectiveness of our internal control over financial reporting.</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in the past identified a material weakness in our internal controls over financial reporting. If we identify additional material weaknesses in the future or otherwise fails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public company, we are required to maintain internal control over financial reporting and to report any material weaknesses in such internal control. Section 404 of the Sarbanes-Oxley Act (Section 404) requires that we evaluate and determine the effectiveness of our internal control over financial reporting. This assessment needs to include the disclosure of any material weaknesses in such internal control. A material weakness is a deficiency, or combination of deficiencies, in internal control over financial reporting such that there is a reasonable possibility that a material misstatement of its annual or interim financial statements will not be prevented or detected on a timely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preparation and audit of our financial statements for the years ended December 31, 2024 and 2023, our management identified a material weakness in our internal control over financial reporting related to a lack of sufficient full-time personnel.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2025, we identified and implemented remedial measures to address the control deficiencies that led to the material weakness and determined that our internal controls over financial reporting were effective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Although we have remediated this material weakness and have not identified any material weaknesses in connection with the finalization of our consolidated financial statements as of and for the year ended December 31, 2025, we cannot provide assurance that we will not identify other material weaknesses in the future.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not able to maintain effective internal control over financial reporting and disclosure controls and procedures, or if material weaknesses are discovered in future periods, it may be unable to accurately and timely report our financial position, results of operations, cash flows or key operating metrics, which could result in late filings of annual or quarterly reports under the Exchange Act, restatements of financial statements or other corrective disclosures, an inability to access equity or debt capital or commercial lending markets, or other material adverse effects on its business, reputation, results of operations, financial condition or liquidity. our investors could lose confidence in our reported financial information, the market price of our common stock could decline, and we could be subject to sanctions or investigations by Nasdaq, the SEC or other regulatory authorities.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Incorrect estimates, including those related to the size of our addressable patient populations and markets, or assumptions by management in connection with the preparation of our condensed consolidated financial statements could adversely affect our reported assets, liabilities or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projections of both the number of people who have the diseases our product candidates are targeting, as well as the subset of people with such disease who have the potential to benefit from treatment with any of our product candidates, are based on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addressable market opportunity will ultimately depend upon, among other things, the diagnosis criteria included in the final label, and, if our product candidates are approved for sale for these indications, acceptance by the medical community and patient access, product pricing and reimbursement. The number of patients with RAS-dependent cancers may turn out to be lower than expected, patients may not be otherwise amenable to treatment with our products, or new patients may become increasingly difficult to identify or gain access to. We may not be successful in our efforts to identify additional product candidates. Assumptions made by management in connection with the preparation of our condensed consolidated financial statements could adversely affect our reported assets, liabilities or expenses if our estimates of the addressable patient populations and markets are incorrect.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inherent limitations include the fact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never declared or paid any cash dividends on our common stock. We currently anticipates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bidi w:val="0"/>
        <w:spacing w:before="200" w:after="283"/>
        <w:jc w:val="both"/>
        <w:rPr>
          <w:rFonts w:ascii="Times New Roman" w:hAnsi="Times New Roman"/>
          <w:b/>
          <w:color w:val="231F20"/>
          <w:sz w:val="20"/>
        </w:rPr>
      </w:pPr>
      <w:r>
        <w:rPr>
          <w:rFonts w:ascii="Times New Roman" w:hAnsi="Times New Roman"/>
          <w:b/>
          <w:color w:val="231F20"/>
          <w:sz w:val="20"/>
        </w:rPr>
        <w:t>General Risk Factors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Anti-takeover provisions in our Charter and Bylaws and Delaware law might discourage, delay or prevent a change in control of us or changes in our management and, therefore, depress the market price of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Charter and Bylaws contain provisions that could depress the market price of our common stock by acting to discourage, delay or prevent a change in control of the Company or changes in our management that our stockholders may deem advantageous. These provisions, among other things,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actions through written consent, which requires that all stockholder actions be taken at a meeting of the Company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special meetings of stockholders be called only by our board of directors acting pursuant to a resolution approved by the affirmative vote of a majority of the directors then in office;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requirements for stockholder proposals and nominations for election to the Company’s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the Company’s voting stock then entitled to vote in the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of approval of not less than two-thirds of all outstanding shares of our voting stock to amend any bylaws by stockholder action;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authority of the our Board to issue preferred stock on terms determined by our board of directors without stockholder approval and which preferred stock may include rights superior to the rights of the holders of common stock.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Section 203 of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provision of the Charter, Bylaws or Delaware law that has the effect of delaying or preventing a change in control could limit the opportunity for our stockholders to receive a premium for their shares of our capital stock and could also affect the price that some investors are willing to pay for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Bylaws designate certain courts as the sole and exclusive forum for certain types of actions and proceedings that may be initiated by our stockholders, which could limit our stockholders’ ability to obtain a favorable judicial forum for disputes with the us or our directors, officers, or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Bylaws provide that, unless we consent in writing to an alternative forum, the Court of Chancery of the State of Delaware are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the Charter or the Bylaws or (iv) any action asserting a claim that is governed by the internal affairs doctrine, in each case subject to the Court of Chancery having personal jurisdiction over the indispensable parties named as defendants therein (the “Delaware Forum Provision”). The Delaware Forum Provision does not apply to any causes of action arising under the Securities Act or the Exchange Act. The Bylaws further provide that, unless we consent in writing to the selection of an alternative forum, the federal district courts of the U.S. shall be the sole and exclusive forum for resolving any complaint asserting a cause or causes of action arising under the Securities Act (the “Federal Forum Provision”). In addition, the Bylaws provide that any person or entity purchasing or otherwise acquiring any interest in shares of common stock is deemed to have notice of and consented to the foregoing provisions; provided, however, that stockholders cannot and will not be deemed to have waived our compliance with the federal securities laws and the rules and regulations thereunder.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Delaware Forum Provision and the Federal Forum Provision in the Bylaws may impose additional litigation costs on stockholders in pursuing any such claims. Additionally, the forum selection clauses in the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the Company’s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currently in a period of economic uncertainty and capital markets disruption, which has been significantly impacted by a new U.S. presidential administration and accompanying regulatory activities and economic policies and events related thereto, ongoing military conflicts and geopolitical instability and inflation and interest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U.S. and global markets have recently been experiencing volatility and disruption caused by economic uncertainty, including as a result international trade disputes and ongoing military disputes and related geopolitical uncertainty. International trade disputes, including threatened or implemented tariffs by the Trump administration and threatened or implemented tariffs by foreign countries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retaliation, could adversely impact our business. Trade disputes could also adversely impact supply chains which could now or in the future increase costs for us or delay delivery of key inventories and supplies. Trade disputes can also be highly disruptive to global financial markets. The length and impact of the ongoing trade disputes and military conflicts are highly unpredictable. We are continuing to monitor the trade disputes, inflation, interest rates and the military conflicts and the impacts to global capital markets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face risks associated with tariffs and other trade restrictions, which may have a material adverse impact on our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face risks related to tariffs and other trade protection measures—including those that have been or may be imposed by the United States or other countries—as well as import or export licensing requirements, trade embargoes, sanctions (including those administered by the U.S. Department of the Treasury’s Office of Foreign Assets Control), and other trade barriers (including further legislation or actions taken by the United States or other countries that restrict trade). These risks include protectionist or retaliatory measures that may limit or complicate the sourcing of raw materials, equipment, and other components critical to our research and development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example, in April 2025, the United States imposed “reciprocal” tariffs, which were broad tariffs on imports from virtually all countries, with particularly high tariffs on imports from China. The U.S. Supreme Court invalidated the reciprocal tariffs on February 20, 2026; however, the current administration has imposed new tariffs under different authorities and President Trump has stated that he intends to use additional authorities to effect historically elevated tariffs. In response to higher U.S. tariffs, some countries have implemented retaliatory tariffs on U.S. goods, while others have negotiated agreements regarding U.S.-imposed tariffs. Historically, increased tariffs have led to more trade and political tensions and the status of these agreements between the United States and the various countries, in light of the U.S. Supreme Court’s February 20, 2026 decision, remains unclear. Moreover, the United States has published special tariffs on certain imported pharmaceutical products, which the administration has scheduled to take effect in mid-2026. In addition, the U.S. Department of Commerce is conducting a Section 232 investigation to assess the national security implications of pharmaceutical and API imports. The outcome of this investigation could result in additional trade restrictions, including tariffs, consistent with ongoing efforts to reshore pharmaceutical manufacturing. Further, the United States and the European Union have announced the framework of a trade agreement that could impose a 15% tariff on most imports from the EU, including pharmaceutical products and inputs. However, the details of this trade agreement remain uncertain, including whether and to what extent such agreement may be impacted by the results of the Section 232 investigation.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face increased costs and operational disruptions if existing or future tariffs are applied to materials or components used in the development and manufacture of our product candidates. These risks also extend to indirect effects, such as retaliatory tariffs imposed by other countries or additional non-tariff trade barriers. As a result, our research and development activities, manufacturing timelines, and overall financial condition could be materially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an “emerging growth company” within the meaning of the Securities Act, as modified by the JOBS Act. Accordingly,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from the date of Helix’s initial public offering in February 2024,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Helix was a “smaller reporting company” as defined in Item 10(f)(1) of Regulation S-K. Smaller reporting companies may take advantage of certain reduced disclosure obligations, including, among other things, providing only two years of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Following the Closing of the Business Combination, we have determined we remain a smaller reporting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pStyle w:val="TextBody"/>
        <w:bidi w:val="0"/>
        <w:spacing w:before="200" w:after="283"/>
        <w:jc w:val="both"/>
        <w:rPr>
          <w:rFonts w:ascii="Times New Roman" w:hAnsi="Times New Roman"/>
          <w:b/>
          <w:color w:val="000000"/>
          <w:sz w:val="20"/>
        </w:rPr>
      </w:pPr>
      <w:bookmarkStart w:id="85" w:name="item_2_unregistered_sales_of_equity"/>
      <w:bookmarkEnd w:id="85"/>
      <w:r>
        <w:rPr>
          <w:rFonts w:ascii="Times New Roman" w:hAnsi="Times New Roman"/>
          <w:b/>
          <w:color w:val="000000"/>
          <w:sz w:val="20"/>
        </w:rPr>
        <w:t>Item 2.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86" w:name="item_3_defaults_upon_senior_securities"/>
      <w:bookmarkEnd w:id="8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87" w:name="item_4_mine_safety_disclosures"/>
      <w:bookmarkEnd w:id="8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88" w:name="item_5_other_information"/>
      <w:bookmarkEnd w:id="88"/>
      <w:r>
        <w:rPr>
          <w:rFonts w:ascii="Times New Roman" w:hAnsi="Times New Roman"/>
          <w:b/>
          <w:color w:val="000000"/>
          <w:sz w:val="20"/>
        </w:rPr>
        <w:t>Item 5. Other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of the Exchange Act) adopted or terminated any contract, instruction or written plan for the purchase or sale of our securities intended to satisfy the affirmative defense conditions of Rule 10b5-1(c) under the Exchange Act or any “non-Rule 10b5-1 trading arrangement” (as defined in Item 408(c) of Regulation S-K).</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rFonts w:ascii="Times New Roman" w:hAnsi="Times New Roman"/>
          <w:b/>
          <w:color w:val="000000"/>
          <w:sz w:val="20"/>
        </w:rPr>
      </w:pPr>
      <w:bookmarkStart w:id="89" w:name="item_6_exhibits"/>
      <w:bookmarkEnd w:id="89"/>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Business Combination Agreement, by and among Helix Acquisition Corp. II, TheRas, Inc. and Helix II Merger Sub, Inc., dated as of February 28, 2025 (incorporated by reference to Exhibit 2.1 the Registrant's Form 10-Q filed on May 12, 2026).</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Amendment No. 1 to Business Combination Agreement, by and among Helix Acquisition Corp. II, TheRas, Inc. and Helix Merger Sub, Inc., dated as of June 17, 2025</w:t>
              </w:r>
            </w:hyperlink>
            <w:hyperlink r:id="rId4">
              <w:r>
                <w:rPr>
                  <w:rStyle w:val="InternetLink"/>
                  <w:rFonts w:ascii="Times New Roman" w:hAnsi="Times New Roman"/>
                  <w:color w:val="0000FF"/>
                  <w:sz w:val="20"/>
                </w:rPr>
                <w:t xml:space="preserve"> </w:t>
              </w:r>
            </w:hyperlink>
            <w:hyperlink r:id="rId5">
              <w:r>
                <w:rPr>
                  <w:rStyle w:val="InternetLink"/>
                  <w:rFonts w:ascii="Times New Roman" w:hAnsi="Times New Roman"/>
                  <w:color w:val="000080"/>
                  <w:sz w:val="20"/>
                  <w:u w:val="single"/>
                </w:rPr>
                <w:t>(incorporated by reference to Exhibit 2.2 the Registrant's Form 10-Q filed on May 12, 2026)</w:t>
              </w:r>
            </w:hyperlink>
            <w:hyperlink r:id="rId6">
              <w:r>
                <w:rPr>
                  <w:rStyle w:val="InternetLink"/>
                  <w:rFonts w:ascii="Times New Roman" w:hAnsi="Times New Roman"/>
                  <w:color w:val="000080"/>
                  <w:sz w:val="20"/>
                  <w:u w:val="single"/>
                </w:rPr>
                <w:t>.</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BridgeBio Oncology Therapeutics, Inc. Certificate of Incorporation (incorporated by reference to Exhibit 3.1 the Registrant’s Current Report on Form 8-K filed on August 12,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BridgeBio Oncology Therapeutics, Inc. Bylaws (incorporated by reference to Exhibit 3.2 the Registrant’s Current Report on Form 8-K filed on August 12, 2025)</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Specimen Common Stock Certificate of BridgeBio Oncology Therapeutics, Inc. (incorporated by reference to Exhibit 4.1 in the Registrant’s proxy statement/prospectus filed on July 9, 2025)</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Amendment No. 9 to Transition Services Agreement, by and among TheRas, Inc., BridgeBio Services, Inc., BridgeBio Oncology Therapeutics, Inc. and BridgeBio Pharma LLC as of June 23, 2026.</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Employee Offer Letter, dated May 11, 2026, by and between BridgeBio Oncology Therapeutics, Inc. and Pedro Beltran</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Employee Offer Letter, dated May 11, 2026, by and between BridgeBio Oncology Therapeutics, Inc. and Idan Elmelech</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Consulting Agreement, dated April 21, 2026, by and between BridgeBio Oncology Therapeutics, Inc. and Eli Wallace.</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 and contained in Exhibit 101)</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Filed herewith.</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Certain schedules and exhibits have been omitted pursuant to Item 601(b)(2) of Regulation S-K. The registrant agrees to furnish supplementally a copy of any omitted schedule or exhibit to the Commission upon request.</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Indicates a management contract or compensatory plan.</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This certification will not be deemed “filed” for purposes of Section 18 of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rPr>
      </w:pPr>
      <w:bookmarkStart w:id="90" w:name="signatures"/>
      <w:bookmarkEnd w:id="90"/>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Quarterly Report to be signed on its behalf by the undersigned thereunto duly authorized.</w:t>
      </w:r>
    </w:p>
    <w:p>
      <w:pPr>
        <w:pStyle w:val="TextBody"/>
        <w:bidi w:val="0"/>
        <w:jc w:val="both"/>
        <w:rPr/>
      </w:pPr>
      <w:r>
        <w:rPr/>
        <w:t> </w:t>
      </w:r>
    </w:p>
    <w:tbl>
      <w:tblPr>
        <w:tblW w:w="6612" w:type="dxa"/>
        <w:jc w:val="left"/>
        <w:tblInd w:w="0" w:type="dxa"/>
        <w:tblLayout w:type="fixed"/>
        <w:tblCellMar>
          <w:top w:w="28" w:type="dxa"/>
          <w:left w:w="28" w:type="dxa"/>
          <w:bottom w:w="28" w:type="dxa"/>
          <w:right w:w="28" w:type="dxa"/>
        </w:tblCellMar>
      </w:tblPr>
      <w:tblGrid>
        <w:gridCol w:w="1951"/>
        <w:gridCol w:w="146"/>
        <w:gridCol w:w="416"/>
        <w:gridCol w:w="4099"/>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BRIDGEBIO ONCOLOGY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Pedro J. Beltran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Pedro J. Beltran,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1"/>
        <w:bidi w:val="0"/>
        <w:spacing w:before="80" w:after="283"/>
        <w:jc w:val="right"/>
        <w:rPr>
          <w:rFonts w:ascii="Times New Roman" w:hAnsi="Times New Roman"/>
          <w:color w:val="000000"/>
          <w:sz w:val="20"/>
        </w:rPr>
      </w:pPr>
      <w:r>
        <w:rPr>
          <w:rFonts w:ascii="Times New Roman" w:hAnsi="Times New Roman"/>
          <w:color w:val="000000"/>
          <w:sz w:val="20"/>
        </w:rPr>
        <w:t>Exhibit 10.1</w:t>
      </w:r>
    </w:p>
    <w:p>
      <w:pPr>
        <w:pStyle w:val="Heading1"/>
        <w:bidi w:val="0"/>
        <w:spacing w:before="80" w:after="283"/>
        <w:jc w:val="center"/>
        <w:rPr/>
      </w:pPr>
      <w:r>
        <w:rPr/>
        <w:t> </w:t>
      </w:r>
    </w:p>
    <w:p>
      <w:pPr>
        <w:pStyle w:val="Heading1"/>
        <w:bidi w:val="0"/>
        <w:spacing w:before="80" w:after="283"/>
        <w:jc w:val="center"/>
        <w:rPr>
          <w:rFonts w:ascii="Times New Roman" w:hAnsi="Times New Roman"/>
          <w:color w:val="000000"/>
          <w:sz w:val="20"/>
        </w:rPr>
      </w:pPr>
      <w:r>
        <w:rPr>
          <w:rFonts w:ascii="Times New Roman" w:hAnsi="Times New Roman"/>
          <w:color w:val="000000"/>
          <w:sz w:val="20"/>
        </w:rPr>
        <w:t>AMENDMENT NO. 9</w:t>
      </w:r>
    </w:p>
    <w:p>
      <w:pPr>
        <w:pStyle w:val="TextBody"/>
        <w:bidi w:val="0"/>
        <w:spacing w:before="276" w:after="283"/>
        <w:jc w:val="center"/>
        <w:rPr>
          <w:rFonts w:ascii="Times New Roman" w:hAnsi="Times New Roman"/>
          <w:b/>
          <w:color w:val="000000"/>
          <w:sz w:val="20"/>
        </w:rPr>
      </w:pPr>
      <w:r>
        <w:rPr>
          <w:rFonts w:ascii="Times New Roman" w:hAnsi="Times New Roman"/>
          <w:b/>
          <w:color w:val="000000"/>
          <w:sz w:val="20"/>
        </w:rPr>
        <w:t>TO TRANSITION SERVICES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This Amendment No. 9 (“</w:t>
      </w:r>
      <w:r>
        <w:rPr>
          <w:rFonts w:ascii="Times New Roman" w:hAnsi="Times New Roman"/>
          <w:b/>
          <w:color w:val="000000"/>
          <w:sz w:val="20"/>
        </w:rPr>
        <w:t>Amendment No. 9</w:t>
      </w:r>
      <w:r>
        <w:rPr>
          <w:rFonts w:ascii="Times New Roman" w:hAnsi="Times New Roman"/>
          <w:color w:val="000000"/>
          <w:sz w:val="20"/>
        </w:rPr>
        <w:t>”) to the Agreement (as defined below) is entered into as of June 23, 2026 (the “</w:t>
      </w:r>
      <w:r>
        <w:rPr>
          <w:rFonts w:ascii="Times New Roman" w:hAnsi="Times New Roman"/>
          <w:b/>
          <w:color w:val="000000"/>
          <w:sz w:val="20"/>
        </w:rPr>
        <w:t>Effective Date</w:t>
      </w:r>
      <w:r>
        <w:rPr>
          <w:rFonts w:ascii="Times New Roman" w:hAnsi="Times New Roman"/>
          <w:color w:val="000000"/>
          <w:sz w:val="20"/>
        </w:rPr>
        <w:t>”) by and among BridgeBio Services Inc., a Delaware corporation (“</w:t>
      </w:r>
      <w:r>
        <w:rPr>
          <w:rFonts w:ascii="Times New Roman" w:hAnsi="Times New Roman"/>
          <w:b/>
          <w:color w:val="000000"/>
          <w:sz w:val="20"/>
        </w:rPr>
        <w:t>BBIO</w:t>
      </w:r>
      <w:r>
        <w:rPr>
          <w:rFonts w:ascii="Times New Roman" w:hAnsi="Times New Roman"/>
          <w:color w:val="000000"/>
          <w:sz w:val="20"/>
        </w:rPr>
        <w:t>”), TheRas, Inc., a Delaware corporation (“</w:t>
      </w:r>
      <w:r>
        <w:rPr>
          <w:rFonts w:ascii="Times New Roman" w:hAnsi="Times New Roman"/>
          <w:b/>
          <w:color w:val="000000"/>
          <w:sz w:val="20"/>
        </w:rPr>
        <w:t>BBOT</w:t>
      </w:r>
      <w:r>
        <w:rPr>
          <w:rFonts w:ascii="Times New Roman" w:hAnsi="Times New Roman"/>
          <w:color w:val="000000"/>
          <w:sz w:val="20"/>
        </w:rPr>
        <w:t>”), BridgeBio Pharma LLC (“</w:t>
      </w:r>
      <w:r>
        <w:rPr>
          <w:rFonts w:ascii="Times New Roman" w:hAnsi="Times New Roman"/>
          <w:b/>
          <w:color w:val="000000"/>
          <w:sz w:val="20"/>
        </w:rPr>
        <w:t>BBP LLC</w:t>
      </w:r>
      <w:r>
        <w:rPr>
          <w:rFonts w:ascii="Times New Roman" w:hAnsi="Times New Roman"/>
          <w:color w:val="000000"/>
          <w:sz w:val="20"/>
        </w:rPr>
        <w:t>”), and BridgeBio Oncology Therapeutics, Inc. (“</w:t>
      </w:r>
      <w:r>
        <w:rPr>
          <w:rFonts w:ascii="Times New Roman" w:hAnsi="Times New Roman"/>
          <w:b/>
          <w:color w:val="000000"/>
          <w:sz w:val="20"/>
        </w:rPr>
        <w:t>PubCo</w:t>
      </w:r>
      <w:r>
        <w:rPr>
          <w:rFonts w:ascii="Times New Roman" w:hAnsi="Times New Roman"/>
          <w:color w:val="000000"/>
          <w:sz w:val="20"/>
        </w:rPr>
        <w:t>”). BBIO, BBOT, BBP LLC and PubCo may be referred to herein by name or individually, as a “</w:t>
      </w:r>
      <w:r>
        <w:rPr>
          <w:rFonts w:ascii="Times New Roman" w:hAnsi="Times New Roman"/>
          <w:b/>
          <w:color w:val="000000"/>
          <w:sz w:val="20"/>
        </w:rPr>
        <w:t>Party</w:t>
      </w:r>
      <w:r>
        <w:rPr>
          <w:rFonts w:ascii="Times New Roman" w:hAnsi="Times New Roman"/>
          <w:color w:val="000000"/>
          <w:sz w:val="20"/>
        </w:rPr>
        <w:t>” and collectively, as the “</w:t>
      </w:r>
      <w:r>
        <w:rPr>
          <w:rFonts w:ascii="Times New Roman" w:hAnsi="Times New Roman"/>
          <w:b/>
          <w:color w:val="000000"/>
          <w:sz w:val="20"/>
        </w:rPr>
        <w:t>Parties</w:t>
      </w:r>
      <w:r>
        <w:rPr>
          <w:rFonts w:ascii="Times New Roman" w:hAnsi="Times New Roman"/>
          <w:color w:val="000000"/>
          <w:sz w:val="20"/>
        </w:rPr>
        <w:t>.” Capitalized terms used and not otherwise defined herein shall have the meanings given such terms in the Agreement (as defined below) to the extent defined therein.</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BBIO and BBOT entered into that certain Transition Services Agreement, dated April 30, 2024, as amended (the “</w:t>
      </w:r>
      <w:r>
        <w:rPr>
          <w:rFonts w:ascii="Times New Roman" w:hAnsi="Times New Roman"/>
          <w:b/>
          <w:color w:val="000000"/>
          <w:sz w:val="20"/>
        </w:rPr>
        <w:t>Agreement</w:t>
      </w:r>
      <w:r>
        <w:rPr>
          <w:rFonts w:ascii="Times New Roman" w:hAnsi="Times New Roman"/>
          <w:color w:val="000000"/>
          <w:sz w:val="20"/>
        </w:rPr>
        <w:t>”);</w:t>
      </w:r>
    </w:p>
    <w:p>
      <w:pPr>
        <w:pStyle w:val="TextBody"/>
        <w:bidi w:val="0"/>
        <w:spacing w:before="275" w:after="283"/>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xml:space="preserve">, the Parties now wish to further amend the Agreement to update the Service Schedule on Exhibit A thereto; </w:t>
      </w:r>
    </w:p>
    <w:p>
      <w:pPr>
        <w:pStyle w:val="TextBody"/>
        <w:bidi w:val="0"/>
        <w:spacing w:before="2" w:after="283"/>
        <w:jc w:val="left"/>
        <w:rPr/>
      </w:pPr>
      <w:r>
        <w:rPr/>
        <w:t> </w:t>
      </w:r>
    </w:p>
    <w:p>
      <w:pPr>
        <w:pStyle w:val="TextBody"/>
        <w:bidi w:val="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covenants, conditions and undertakings hereinafter set forth, and for other good and valuable consideration, the receipt and sufficiency of which is hereby acknowledged, the Parties hereby agree as follows: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0"/>
        <w:jc w:val="both"/>
        <w:rPr/>
      </w:pPr>
      <w:r>
        <w:rPr>
          <w:rFonts w:ascii="Times New Roman" w:hAnsi="Times New Roman"/>
          <w:b/>
          <w:color w:val="000000"/>
          <w:sz w:val="20"/>
        </w:rPr>
        <w:t>Amendment to Service Schedule</w:t>
      </w:r>
      <w:r>
        <w:rPr>
          <w:rFonts w:ascii="Times New Roman" w:hAnsi="Times New Roman"/>
          <w:color w:val="000000"/>
          <w:sz w:val="20"/>
        </w:rPr>
        <w:t>. Exhibit A of the Agreement is hereby deleted in its entirety and replaced with the following new Exhibit A attached hereto.</w:t>
      </w:r>
    </w:p>
    <w:p>
      <w:pPr>
        <w:pStyle w:val="TextBody"/>
        <w:bidi w:val="0"/>
        <w:spacing w:before="275"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75" w:after="283"/>
        <w:jc w:val="both"/>
        <w:rPr/>
      </w:pPr>
      <w:r>
        <w:rPr>
          <w:rFonts w:ascii="Times New Roman" w:hAnsi="Times New Roman"/>
          <w:b/>
          <w:color w:val="000000"/>
          <w:sz w:val="20"/>
        </w:rPr>
        <w:t xml:space="preserve">Miscellaneous. </w:t>
      </w:r>
      <w:r>
        <w:rPr>
          <w:rFonts w:ascii="Times New Roman" w:hAnsi="Times New Roman"/>
          <w:color w:val="000000"/>
          <w:sz w:val="20"/>
        </w:rPr>
        <w:t>This Amendment No. 9 together with the Agreement constitutes the entire agreement of the Parties with respect to the matters set forth in this Amendment No. 9 and there are no other agreements, commitments or understandings among the Parties with respect to the matters set forth herein. All terms and conditions of the Agreement not expressly amended herein shall remain in full force and effect. The terms and conditions of this Amendment No. 9 shall prevail over any conflicting terms and conditions in the Agreement with regard to the subject matter herein. This Amendment No. 9 shall be construed and enforced in accordance with the laws of California.</w:t>
      </w:r>
    </w:p>
    <w:p>
      <w:pPr>
        <w:pStyle w:val="TextBody"/>
        <w:bidi w:val="0"/>
        <w:spacing w:before="275"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82"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each Party hereto has executed this Amendment No. 9 as of the date first above written.</w:t>
      </w:r>
    </w:p>
    <w:p>
      <w:pPr>
        <w:pStyle w:val="TextBody"/>
        <w:bidi w:val="0"/>
        <w:jc w:val="left"/>
        <w:rPr/>
      </w:pPr>
      <w:r>
        <w:rPr/>
        <w:t> </w:t>
      </w:r>
    </w:p>
    <w:p>
      <w:pPr>
        <w:pStyle w:val="TextBody"/>
        <w:bidi w:val="0"/>
        <w:jc w:val="left"/>
        <w:rPr/>
      </w:pPr>
      <w:r>
        <w:rPr/>
        <w:t> </w:t>
      </w:r>
    </w:p>
    <w:p>
      <w:pPr>
        <w:pStyle w:val="TextBody"/>
        <w:bidi w:val="0"/>
        <w:jc w:val="both"/>
        <w:rPr/>
      </w:pPr>
      <w:r>
        <w:rPr/>
        <w:t> </w:t>
      </w:r>
    </w:p>
    <w:tbl>
      <w:tblPr>
        <w:tblW w:w="8192" w:type="dxa"/>
        <w:jc w:val="left"/>
        <w:tblInd w:w="0" w:type="dxa"/>
        <w:tblLayout w:type="fixed"/>
        <w:tblCellMar>
          <w:top w:w="28" w:type="dxa"/>
          <w:left w:w="28" w:type="dxa"/>
          <w:bottom w:w="28" w:type="dxa"/>
          <w:right w:w="28" w:type="dxa"/>
        </w:tblCellMar>
      </w:tblPr>
      <w:tblGrid>
        <w:gridCol w:w="4486"/>
        <w:gridCol w:w="3706"/>
      </w:tblGrid>
      <w:tr>
        <w:trPr/>
        <w:tc>
          <w:tcPr>
            <w:tcW w:w="448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283"/>
              <w:jc w:val="both"/>
              <w:rPr/>
            </w:pPr>
            <w:r>
              <w:rPr/>
              <w:t> </w:t>
            </w:r>
          </w:p>
        </w:tc>
        <w:tc>
          <w:tcPr>
            <w:tcW w:w="370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BRIDGEBIO SERVICES INC.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Neil Kumar</w:t>
            </w:r>
          </w:p>
          <w:p>
            <w:pPr>
              <w:pStyle w:val="TableContents"/>
              <w:bidi w:val="0"/>
              <w:jc w:val="both"/>
              <w:rPr>
                <w:rFonts w:ascii="Times New Roman" w:hAnsi="Times New Roman"/>
                <w:color w:val="000000"/>
                <w:sz w:val="20"/>
              </w:rPr>
            </w:pPr>
            <w:r>
              <w:rPr>
                <w:rFonts w:ascii="Times New Roman" w:hAnsi="Times New Roman"/>
                <w:color w:val="000000"/>
                <w:sz w:val="20"/>
              </w:rPr>
              <w:t>Name: Neil Kumar</w:t>
            </w:r>
          </w:p>
          <w:p>
            <w:pPr>
              <w:pStyle w:val="TableContents"/>
              <w:bidi w:val="0"/>
              <w:jc w:val="both"/>
              <w:rPr>
                <w:rFonts w:ascii="Times New Roman" w:hAnsi="Times New Roman"/>
                <w:color w:val="000000"/>
                <w:sz w:val="20"/>
              </w:rPr>
            </w:pPr>
            <w:r>
              <w:rPr>
                <w:rFonts w:ascii="Times New Roman" w:hAnsi="Times New Roman"/>
                <w:color w:val="000000"/>
                <w:sz w:val="20"/>
              </w:rPr>
              <w:t>Title: President and Chief Executive Officer</w:t>
            </w:r>
          </w:p>
          <w:p>
            <w:pPr>
              <w:pStyle w:val="TableContents"/>
              <w:bidi w:val="0"/>
              <w:spacing w:before="0" w:after="283"/>
              <w:jc w:val="both"/>
              <w:rPr/>
            </w:pPr>
            <w:r>
              <w:rPr/>
              <w:t> </w:t>
            </w:r>
          </w:p>
        </w:tc>
      </w:tr>
      <w:tr>
        <w:trPr/>
        <w:tc>
          <w:tcPr>
            <w:tcW w:w="4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b/>
                <w:color w:val="000000"/>
                <w:sz w:val="20"/>
              </w:rPr>
            </w:pPr>
            <w:r>
              <w:rPr>
                <w:rFonts w:ascii="Times New Roman" w:hAnsi="Times New Roman"/>
                <w:b/>
                <w:color w:val="000000"/>
                <w:sz w:val="20"/>
              </w:rPr>
              <w:t>BRIDGEBIO PHARMA LLC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Neil Kumar</w:t>
            </w:r>
          </w:p>
          <w:p>
            <w:pPr>
              <w:pStyle w:val="TableContents"/>
              <w:bidi w:val="0"/>
              <w:jc w:val="both"/>
              <w:rPr>
                <w:rFonts w:ascii="Times New Roman" w:hAnsi="Times New Roman"/>
                <w:color w:val="000000"/>
                <w:sz w:val="20"/>
              </w:rPr>
            </w:pPr>
            <w:r>
              <w:rPr>
                <w:rFonts w:ascii="Times New Roman" w:hAnsi="Times New Roman"/>
                <w:color w:val="000000"/>
                <w:sz w:val="20"/>
              </w:rPr>
              <w:t>Name: Neil Kumar</w:t>
            </w:r>
          </w:p>
          <w:p>
            <w:pPr>
              <w:pStyle w:val="TableContents"/>
              <w:bidi w:val="0"/>
              <w:jc w:val="both"/>
              <w:rPr>
                <w:rFonts w:ascii="Times New Roman" w:hAnsi="Times New Roman"/>
                <w:color w:val="000000"/>
                <w:sz w:val="20"/>
              </w:rPr>
            </w:pPr>
            <w:r>
              <w:rPr>
                <w:rFonts w:ascii="Times New Roman" w:hAnsi="Times New Roman"/>
                <w:color w:val="000000"/>
                <w:sz w:val="20"/>
              </w:rPr>
              <w:t>Title: President and Chief Executive Officer</w:t>
            </w:r>
          </w:p>
          <w:p>
            <w:pPr>
              <w:pStyle w:val="TableContents"/>
              <w:bidi w:val="0"/>
              <w:spacing w:before="0" w:after="283"/>
              <w:jc w:val="both"/>
              <w:rPr/>
            </w:pPr>
            <w:r>
              <w:rPr/>
              <w:t> </w:t>
            </w:r>
          </w:p>
        </w:tc>
      </w:tr>
      <w:tr>
        <w:trPr/>
        <w:tc>
          <w:tcPr>
            <w:tcW w:w="448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THERAS, INC.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Idan Elmelech</w:t>
            </w:r>
          </w:p>
          <w:p>
            <w:pPr>
              <w:pStyle w:val="TableContents"/>
              <w:bidi w:val="0"/>
              <w:jc w:val="both"/>
              <w:rPr>
                <w:rFonts w:ascii="Times New Roman" w:hAnsi="Times New Roman"/>
                <w:color w:val="000000"/>
                <w:sz w:val="20"/>
              </w:rPr>
            </w:pPr>
            <w:r>
              <w:rPr>
                <w:rFonts w:ascii="Times New Roman" w:hAnsi="Times New Roman"/>
                <w:color w:val="000000"/>
                <w:sz w:val="20"/>
              </w:rPr>
              <w:t>Name: Idan Elmelech</w:t>
            </w:r>
          </w:p>
          <w:p>
            <w:pPr>
              <w:pStyle w:val="TableContents"/>
              <w:bidi w:val="0"/>
              <w:jc w:val="both"/>
              <w:rPr>
                <w:rFonts w:ascii="Times New Roman" w:hAnsi="Times New Roman"/>
                <w:color w:val="000000"/>
                <w:sz w:val="20"/>
              </w:rPr>
            </w:pPr>
            <w:r>
              <w:rPr>
                <w:rFonts w:ascii="Times New Roman" w:hAnsi="Times New Roman"/>
                <w:color w:val="000000"/>
                <w:sz w:val="20"/>
              </w:rPr>
              <w:t>Title: Chief Operating Officer</w:t>
            </w:r>
          </w:p>
          <w:p>
            <w:pPr>
              <w:pStyle w:val="TableContents"/>
              <w:bidi w:val="0"/>
              <w:spacing w:before="0" w:after="283"/>
              <w:jc w:val="both"/>
              <w:rPr/>
            </w:pPr>
            <w:r>
              <w:rPr/>
              <w:t> </w:t>
            </w:r>
          </w:p>
        </w:tc>
        <w:tc>
          <w:tcPr>
            <w:tcW w:w="370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48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BRIDGEBIO ONCOLOGY THERAPEUTICS, INC.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Idan Elmelech</w:t>
            </w:r>
          </w:p>
          <w:p>
            <w:pPr>
              <w:pStyle w:val="TableContents"/>
              <w:bidi w:val="0"/>
              <w:jc w:val="both"/>
              <w:rPr>
                <w:rFonts w:ascii="Times New Roman" w:hAnsi="Times New Roman"/>
                <w:color w:val="000000"/>
                <w:sz w:val="20"/>
              </w:rPr>
            </w:pPr>
            <w:r>
              <w:rPr>
                <w:rFonts w:ascii="Times New Roman" w:hAnsi="Times New Roman"/>
                <w:color w:val="000000"/>
                <w:sz w:val="20"/>
              </w:rPr>
              <w:t>Name: Idan Elmelech</w:t>
            </w:r>
          </w:p>
          <w:p>
            <w:pPr>
              <w:pStyle w:val="TableContents"/>
              <w:bidi w:val="0"/>
              <w:jc w:val="both"/>
              <w:rPr>
                <w:rFonts w:ascii="Times New Roman" w:hAnsi="Times New Roman"/>
                <w:color w:val="000000"/>
                <w:sz w:val="20"/>
              </w:rPr>
            </w:pPr>
            <w:r>
              <w:rPr>
                <w:rFonts w:ascii="Times New Roman" w:hAnsi="Times New Roman"/>
                <w:color w:val="000000"/>
                <w:sz w:val="20"/>
              </w:rPr>
              <w:t>Title: Chief Operating Officer</w:t>
            </w:r>
          </w:p>
          <w:p>
            <w:pPr>
              <w:pStyle w:val="TableContents"/>
              <w:bidi w:val="0"/>
              <w:spacing w:before="0" w:after="283"/>
              <w:jc w:val="both"/>
              <w:rPr/>
            </w:pPr>
            <w:r>
              <w:rPr/>
              <w:t> </w:t>
            </w:r>
          </w:p>
        </w:tc>
        <w:tc>
          <w:tcPr>
            <w:tcW w:w="370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 SCHEDULE</w:t>
      </w:r>
    </w:p>
    <w:p>
      <w:pPr>
        <w:pStyle w:val="TextBody"/>
        <w:bidi w:val="0"/>
        <w:jc w:val="both"/>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Services from April 1, 2026 through June 30, 2026</w:t>
      </w:r>
    </w:p>
    <w:p>
      <w:pPr>
        <w:pStyle w:val="TextBody"/>
        <w:bidi w:val="0"/>
        <w:jc w:val="center"/>
        <w:rPr/>
      </w:pPr>
      <w:r>
        <w:rPr/>
        <w:t> </w:t>
      </w:r>
    </w:p>
    <w:p>
      <w:pPr>
        <w:pStyle w:val="TextBody"/>
        <w:bidi w:val="0"/>
        <w:spacing w:before="149" w:after="1"/>
        <w:jc w:val="center"/>
        <w:rPr>
          <w:rFonts w:ascii="Times New Roman" w:hAnsi="Times New Roman"/>
          <w:color w:val="000000"/>
          <w:sz w:val="20"/>
        </w:rPr>
      </w:pPr>
      <w:r>
        <w:rPr>
          <w:rFonts w:ascii="Times New Roman" w:hAnsi="Times New Roman"/>
          <w:color w:val="000000"/>
          <w:sz w:val="20"/>
        </w:rPr>
        <w:t>[***]</w:t>
      </w:r>
    </w:p>
    <w:p>
      <w:pPr>
        <w:pStyle w:val="TextBody"/>
        <w:bidi w:val="0"/>
        <w:spacing w:before="148" w:after="1"/>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May 11, 2026</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Dr. Pedro Beltran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 xml:space="preserve">Re: Amended and Restated Employment Agreement and Executive Severance Plan Participation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Dear Pedro:</w:t>
      </w:r>
    </w:p>
    <w:p>
      <w:pPr>
        <w:pStyle w:val="TextBody"/>
        <w:bidi w:val="0"/>
        <w:spacing w:before="0" w:after="240"/>
        <w:jc w:val="both"/>
        <w:rPr>
          <w:rFonts w:ascii="Times New Roman" w:hAnsi="Times New Roman"/>
          <w:sz w:val="20"/>
        </w:rPr>
      </w:pPr>
      <w:r>
        <w:rPr>
          <w:rFonts w:ascii="Times New Roman" w:hAnsi="Times New Roman"/>
          <w:color w:val="000000"/>
          <w:sz w:val="20"/>
        </w:rPr>
        <w:t>This agreement confirms the terms of your employment as Chief Executive Officer of the Company commencing as of the Effective Date (as defined below). If executed, this Amended and Restated Employment Agreement and Executive Severance Plan Participation Agreement (the “</w:t>
      </w:r>
      <w:r>
        <w:rPr>
          <w:rFonts w:ascii="Times New Roman" w:hAnsi="Times New Roman"/>
          <w:color w:val="000000"/>
          <w:sz w:val="20"/>
          <w:u w:val="single"/>
        </w:rPr>
        <w:t>Agreement</w:t>
      </w:r>
      <w:r>
        <w:rPr>
          <w:rFonts w:ascii="Times New Roman" w:hAnsi="Times New Roman"/>
          <w:color w:val="000000"/>
          <w:sz w:val="20"/>
        </w:rPr>
        <w:t>”) shall become effective retroactively as of April 20, 2026 (the “</w:t>
      </w:r>
      <w:r>
        <w:rPr>
          <w:rFonts w:ascii="Times New Roman" w:hAnsi="Times New Roman"/>
          <w:color w:val="000000"/>
          <w:sz w:val="20"/>
          <w:u w:val="single"/>
        </w:rPr>
        <w:t>Effective Date</w:t>
      </w:r>
      <w:r>
        <w:rPr>
          <w:rFonts w:ascii="Times New Roman" w:hAnsi="Times New Roman"/>
          <w:color w:val="000000"/>
          <w:sz w:val="20"/>
        </w:rPr>
        <w:t xml:space="preserve">”). </w:t>
      </w:r>
      <w:r>
        <w:rPr>
          <w:rFonts w:ascii="Times New Roman" w:hAnsi="Times New Roman"/>
          <w:color w:val="282828"/>
          <w:sz w:val="20"/>
        </w:rPr>
        <w:t xml:space="preserve">Except with respect to the Equity Documents, the Restrictive Covenants Agreement (as defined below) and the Severance Plan (each as defined below), this Agreement supersedes </w:t>
      </w:r>
      <w:r>
        <w:rPr>
          <w:rFonts w:ascii="Times New Roman" w:hAnsi="Times New Roman"/>
          <w:color w:val="000000"/>
          <w:sz w:val="20"/>
        </w:rPr>
        <w:t>in all respects all prior agreements between you and BridgeBio Oncology Therapeutics, Inc. (the “</w:t>
      </w:r>
      <w:r>
        <w:rPr>
          <w:rFonts w:ascii="Times New Roman" w:hAnsi="Times New Roman"/>
          <w:color w:val="000000"/>
          <w:sz w:val="20"/>
          <w:u w:val="single"/>
        </w:rPr>
        <w:t>Company</w:t>
      </w:r>
      <w:r>
        <w:rPr>
          <w:rFonts w:ascii="Times New Roman" w:hAnsi="Times New Roman"/>
          <w:color w:val="000000"/>
          <w:sz w:val="20"/>
        </w:rPr>
        <w:t>”) (or its predecessor(s)) regarding the subject matter herein, including without limitation (i) the Employment Agreement, dated August 11, 2025, by and between you and the Company (the “</w:t>
      </w:r>
      <w:r>
        <w:rPr>
          <w:rFonts w:ascii="Times New Roman" w:hAnsi="Times New Roman"/>
          <w:color w:val="000000"/>
          <w:sz w:val="20"/>
          <w:u w:val="single"/>
        </w:rPr>
        <w:t>Prior Agreement</w:t>
      </w:r>
      <w:r>
        <w:rPr>
          <w:rFonts w:ascii="Times New Roman" w:hAnsi="Times New Roman"/>
          <w:color w:val="000000"/>
          <w:sz w:val="20"/>
        </w:rPr>
        <w:t xml:space="preserve">”) and (ii) any other offer letter, employment agreement or severance agreement.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pPr>
      <w:r>
        <w:rPr>
          <w:rFonts w:ascii="Times New Roman" w:hAnsi="Times New Roman"/>
          <w:b/>
          <w:color w:val="000000"/>
          <w:sz w:val="20"/>
        </w:rPr>
        <w:t>Position</w:t>
      </w:r>
      <w:r>
        <w:rPr>
          <w:rFonts w:ascii="Times New Roman" w:hAnsi="Times New Roman"/>
          <w:color w:val="000000"/>
          <w:sz w:val="20"/>
        </w:rPr>
        <w:t>. As Chief Executive Officer, you will report to the Company’s Board of Directors (the “</w:t>
      </w:r>
      <w:r>
        <w:rPr>
          <w:rFonts w:ascii="Times New Roman" w:hAnsi="Times New Roman"/>
          <w:color w:val="000000"/>
          <w:sz w:val="20"/>
          <w:u w:val="single"/>
        </w:rPr>
        <w:t>Board</w:t>
      </w:r>
      <w:r>
        <w:rPr>
          <w:color w:val="000000"/>
        </w:rPr>
        <w:t>”</w:t>
      </w:r>
      <w:r>
        <w:rPr>
          <w:rFonts w:ascii="Times New Roman" w:hAnsi="Times New Roman"/>
          <w:color w:val="000000"/>
          <w:sz w:val="20"/>
        </w:rPr>
        <w:t>) and will have such powers and duties as may from time to time be prescribed by the Board. In addition, the Company shall cause you to be nominated for election to the Board and to be recommended to the stockholders for election to the Board as long as you continue to serve as the Company’s Chief Executive Officer, provided that you will be deemed to have resigned from the Board and from any officer or director positions with the Company or any related entity upon ceasing to serve as Chief Executive Officer for any reason. You agree to promptly execute any reasonable documentation to confirm/effectuate such resignations. This is a full-time employment position. It is understood and agreed that, while you render services to the Company, any other employment, consulting or other business activities (whether full-time or part-time), must be expressly approved in writing by the Board. Notwithstanding the foregoing, you may engage in religious, charitable and other community activities so long as such activities do not interfere or conflict with your obligations to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pPr>
      <w:r>
        <w:rPr>
          <w:rFonts w:ascii="Times New Roman" w:hAnsi="Times New Roman"/>
          <w:b/>
          <w:color w:val="000000"/>
          <w:sz w:val="20"/>
        </w:rPr>
        <w:t>Compensation and Related Matters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Base Salary</w:t>
      </w:r>
      <w:r>
        <w:rPr>
          <w:rFonts w:ascii="Times New Roman" w:hAnsi="Times New Roman"/>
          <w:color w:val="000000"/>
          <w:sz w:val="20"/>
        </w:rPr>
        <w:t>. Following the Effective Date, the Company will pay you a base salary at the rate of $670,000 per year. Your base salary shall be payable in accordance with the Company’s standard payroll schedule and subject to applicable deductions and withholdings. Your base salary is subject to review and adjustment by the Board or the Compensation Committee thereof (the “</w:t>
      </w:r>
      <w:r>
        <w:rPr>
          <w:rFonts w:ascii="Times New Roman" w:hAnsi="Times New Roman"/>
          <w:color w:val="000000"/>
          <w:sz w:val="20"/>
          <w:u w:val="single"/>
        </w:rPr>
        <w:t>Compensation Committee</w:t>
      </w:r>
      <w:r>
        <w:rPr>
          <w:color w:val="000000"/>
        </w:rPr>
        <w:t>”</w:t>
      </w:r>
      <w:r>
        <w:rPr>
          <w:rFonts w:ascii="Times New Roman" w:hAnsi="Times New Roman"/>
          <w:color w:val="000000"/>
          <w:sz w:val="20"/>
        </w:rPr>
        <w:t>). Your base salary in effect at any given time, whether it is the above-referenced base salary rate or any later determined base salary rate, shall be referred to herein as the “</w:t>
      </w:r>
      <w:r>
        <w:rPr>
          <w:rFonts w:ascii="Times New Roman" w:hAnsi="Times New Roman"/>
          <w:color w:val="000000"/>
          <w:sz w:val="20"/>
          <w:u w:val="single"/>
        </w:rPr>
        <w:t>Base Salary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Bonus</w:t>
      </w:r>
      <w:r>
        <w:rPr>
          <w:rFonts w:ascii="Times New Roman" w:hAnsi="Times New Roman"/>
          <w:color w:val="000000"/>
          <w:sz w:val="20"/>
        </w:rPr>
        <w:t>. You will be eligible to receive an annual performance bonus (the “</w:t>
      </w:r>
      <w:r>
        <w:rPr>
          <w:rFonts w:ascii="Times New Roman" w:hAnsi="Times New Roman"/>
          <w:color w:val="000000"/>
          <w:sz w:val="20"/>
          <w:u w:val="single"/>
        </w:rPr>
        <w:t>Bonus</w:t>
      </w:r>
      <w:r>
        <w:rPr>
          <w:color w:val="000000"/>
        </w:rPr>
        <w:t>”</w:t>
      </w:r>
      <w:r>
        <w:rPr>
          <w:rFonts w:ascii="Times New Roman" w:hAnsi="Times New Roman"/>
          <w:color w:val="000000"/>
          <w:sz w:val="20"/>
        </w:rPr>
        <w:t>) targeted at 55% of your Base Salary. The target annual bonus in effect at any given time is referred to herein as “</w:t>
      </w:r>
      <w:r>
        <w:rPr>
          <w:rFonts w:ascii="Times New Roman" w:hAnsi="Times New Roman"/>
          <w:color w:val="000000"/>
          <w:sz w:val="20"/>
          <w:u w:val="single"/>
        </w:rPr>
        <w:t>Target Bonus</w:t>
      </w:r>
      <w:r>
        <w:rPr>
          <w:rFonts w:ascii="Times New Roman" w:hAnsi="Times New Roman"/>
          <w:color w:val="000000"/>
          <w:sz w:val="20"/>
        </w:rPr>
        <w:t>.” The amount, terms and conditions of the actual Bonus (if any) are to be determined at the sole discretion of the Board or the Compensation Committee thereof. To earn a Bonus, you must be employed by the Company as of the payment date of the Bonus. Any Bonus will be paid no later than March 15</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of the calendar year following the calendar year to which the Bonus relates.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b/>
          <w:color w:val="000000"/>
          <w:sz w:val="20"/>
        </w:rPr>
        <w:t>Equity.</w:t>
      </w:r>
      <w:r>
        <w:rPr>
          <w:color w:val="000000"/>
        </w:rPr>
        <w:t xml:space="preserve"> </w:t>
      </w:r>
      <w:r>
        <w:rPr>
          <w:rFonts w:ascii="Times New Roman" w:hAnsi="Times New Roman"/>
          <w:color w:val="000000"/>
          <w:sz w:val="20"/>
        </w:rPr>
        <w:t>The equity awards held by you shall continue to be governed by the terms and conditions of the applicable equity incentive plan(s) of the Company and the applicable award agreement(s) (collectively, the “</w:t>
      </w:r>
      <w:r>
        <w:rPr>
          <w:rFonts w:ascii="Times New Roman" w:hAnsi="Times New Roman"/>
          <w:color w:val="000000"/>
          <w:sz w:val="20"/>
          <w:u w:val="single"/>
        </w:rPr>
        <w:t>Equity Documents</w:t>
      </w:r>
      <w:r>
        <w:rPr>
          <w:color w:val="000000"/>
        </w:rPr>
        <w:t>”</w:t>
      </w:r>
      <w:r>
        <w:rPr>
          <w:rFonts w:ascii="Times New Roman" w:hAnsi="Times New Roman"/>
          <w:color w:val="000000"/>
          <w:sz w:val="20"/>
        </w:rPr>
        <w:t>) and, to the extent applicable, the Severance Plan. You may be eligible to receive future equity awards, in the sole discretion of the Board or the Compensation Committee, as applicable.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rFonts w:ascii="Times New Roman" w:hAnsi="Times New Roman"/>
          <w:b/>
          <w:color w:val="000000"/>
          <w:sz w:val="20"/>
        </w:rPr>
        <w:t>Expenses</w:t>
      </w:r>
      <w:r>
        <w:rPr>
          <w:rFonts w:ascii="Times New Roman" w:hAnsi="Times New Roman"/>
          <w:color w:val="000000"/>
          <w:sz w:val="20"/>
        </w:rPr>
        <w:t>. You will be entitled to receive prompt reimbursement for all reasonable expenses that you incur in performing services hereunder, in accordance with the policies and procedures then in effect and established by the Company for its executive officers.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b/>
          <w:color w:val="000000"/>
          <w:sz w:val="20"/>
        </w:rPr>
        <w:t>Benefits; Paid Time Off</w:t>
      </w:r>
      <w:r>
        <w:rPr>
          <w:rFonts w:ascii="Times New Roman" w:hAnsi="Times New Roman"/>
          <w:color w:val="000000"/>
          <w:sz w:val="20"/>
        </w:rPr>
        <w:t>. You will continue to be eligible, subject to the terms of the applicable plans and programs, to participate in the employee benefits and insurance programs generally made available to the Company’s full-time employees. You will be eligible for paid time off consistent with the terms of the Company’s applicable paid time off policy, as may be in effect from time to time. The Company reserves the right to modify, amend or cancel any of its benefits plans, programs or policies at any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b/>
          <w:color w:val="000000"/>
          <w:sz w:val="20"/>
        </w:rPr>
        <w:t>Location.</w:t>
      </w:r>
      <w:r>
        <w:rPr>
          <w:color w:val="000000"/>
        </w:rPr>
        <w:t xml:space="preserve"> </w:t>
      </w:r>
      <w:r>
        <w:rPr>
          <w:rFonts w:ascii="Times New Roman" w:hAnsi="Times New Roman"/>
          <w:color w:val="000000"/>
          <w:sz w:val="20"/>
        </w:rPr>
        <w:t>You will primarily work from the Company’s South San Francisco headquarters, provided, however, that you will be required to travel on business from time to time.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both"/>
        <w:rPr/>
      </w:pPr>
      <w:r>
        <w:rPr>
          <w:rFonts w:ascii="Times New Roman" w:hAnsi="Times New Roman"/>
          <w:b/>
          <w:color w:val="000000"/>
          <w:sz w:val="20"/>
        </w:rPr>
        <w:t xml:space="preserve">At-Will Employment; Accrued Obligations. </w:t>
      </w:r>
      <w:r>
        <w:rPr>
          <w:rFonts w:ascii="Times New Roman" w:hAnsi="Times New Roman"/>
          <w:color w:val="000000"/>
          <w:sz w:val="20"/>
        </w:rPr>
        <w:t>At all times your employment is “at will,” meaning you or the Company may terminate it at any time for any or no reason. In the event of the ending of your employment for any reason, the Company will pay you (i) your then unpaid Base Salary through the last date of your employment, and (ii) the amount of any documented expenses properly incurred by you on behalf of the Company prior to any such termination and not yet reimbursed, in accordance with Company policy (the “</w:t>
      </w:r>
      <w:r>
        <w:rPr>
          <w:rFonts w:ascii="Times New Roman" w:hAnsi="Times New Roman"/>
          <w:color w:val="000000"/>
          <w:sz w:val="20"/>
          <w:u w:val="single"/>
        </w:rPr>
        <w:t>Accrued Obligations</w:t>
      </w:r>
      <w:r>
        <w:rPr>
          <w:color w:val="000000"/>
        </w:rPr>
        <w:t>”</w:t>
      </w:r>
      <w:r>
        <w:rPr>
          <w:rFonts w:ascii="Times New Roman" w:hAnsi="Times New Roman"/>
          <w:color w:val="000000"/>
          <w:sz w:val="20"/>
        </w:rPr>
        <w:t xml:space="preserve">). Other than the Accrued Obligations or the severance benefits that may arise pursuant to the Severance Plan, you will not be entitled to any compensation from the Company in connection with the ending of your employment.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240"/>
        <w:jc w:val="both"/>
        <w:rPr/>
      </w:pPr>
      <w:r>
        <w:rPr>
          <w:rFonts w:ascii="Times New Roman" w:hAnsi="Times New Roman"/>
          <w:b/>
          <w:color w:val="000000"/>
          <w:sz w:val="20"/>
        </w:rPr>
        <w:t xml:space="preserve">Executive Severance Plan. </w:t>
      </w:r>
      <w:r>
        <w:rPr>
          <w:rFonts w:ascii="Times New Roman" w:hAnsi="Times New Roman"/>
          <w:color w:val="000000"/>
          <w:sz w:val="20"/>
        </w:rPr>
        <w:t>You will be eligible for certain severance benefits as a Tier 1 Executive as described in Company’s Executive Severance Plan, as amended from time to time (the “</w:t>
      </w:r>
      <w:r>
        <w:rPr>
          <w:rFonts w:ascii="Times New Roman" w:hAnsi="Times New Roman"/>
          <w:color w:val="000000"/>
          <w:sz w:val="20"/>
          <w:u w:val="single"/>
        </w:rPr>
        <w:t>Severance Plan</w:t>
      </w:r>
      <w:r>
        <w:rPr>
          <w:color w:val="000000"/>
        </w:rPr>
        <w:t>”</w:t>
      </w:r>
      <w:r>
        <w:rPr>
          <w:rFonts w:ascii="Times New Roman" w:hAnsi="Times New Roman"/>
          <w:color w:val="000000"/>
          <w:sz w:val="20"/>
        </w:rPr>
        <w:t xml:space="preserve">), a copy of which (excluding the exhibits thereto) is attached hereto as </w:t>
      </w:r>
      <w:r>
        <w:rPr>
          <w:rFonts w:ascii="Times New Roman" w:hAnsi="Times New Roman"/>
          <w:color w:val="000000"/>
          <w:sz w:val="20"/>
          <w:u w:val="single"/>
        </w:rPr>
        <w:t>Exhibit A</w:t>
      </w:r>
      <w:r>
        <w:rPr>
          <w:rFonts w:ascii="Times New Roman" w:hAnsi="Times New Roman"/>
          <w:color w:val="000000"/>
          <w:sz w:val="20"/>
        </w:rPr>
        <w:t xml:space="preserve">. Any and all such severance benefits are subject to the terms and conditions of the Severance Plan. As a condition to participate in the Severance Plan, you hereby acknowledge that the severance benefits that may be provided to you under the Severance Plan will supersede and replace any severance benefit plan, policy or practice previously maintained by the Company, any of its affiliates, or its predecessors, that may have been applicable to you and any severance benefits under any individually negotiated employment agreement, offer letter or equity award agreement, as may be amended from time to time, between you and the Company, any of its affiliates or its predecessors, including, without limitation, the Prior Agreement. In addition, as a condition to participate in the Severance Plan, you hereby acknowledge that you will continue to comply with the Restrictive Covenants Agreement (or other similar agreements entered into between you and the Company). This Agreement serves as the Participation Agreement for purposes of the Severance Plan and, for the avoidance of doubt, upon your execution of this Agreement, you will be deemed to have accepted the terms of, and to be participating in, the Severance Plan.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pPr>
      <w:r>
        <w:rPr>
          <w:rFonts w:ascii="Times New Roman" w:hAnsi="Times New Roman"/>
          <w:b/>
          <w:color w:val="000000"/>
          <w:sz w:val="20"/>
        </w:rPr>
        <w:t>Continuing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Restrictive Covenants Agreement</w:t>
      </w:r>
      <w:r>
        <w:rPr>
          <w:rFonts w:ascii="Times New Roman" w:hAnsi="Times New Roman"/>
          <w:color w:val="000000"/>
          <w:sz w:val="20"/>
        </w:rPr>
        <w:t>. As a condition of your employment, you are required to continue to comply with the Proprietary Information and Inventions Agreement entered into by and between you and the Company’s subsidiary, TheRas, Inc., dated April 29, 2024 (the “</w:t>
      </w:r>
      <w:r>
        <w:rPr>
          <w:rFonts w:ascii="Times New Roman" w:hAnsi="Times New Roman"/>
          <w:color w:val="000000"/>
          <w:sz w:val="20"/>
          <w:u w:val="single"/>
        </w:rPr>
        <w:t>Restrictive Covenants Agreement</w:t>
      </w:r>
      <w:r>
        <w:rPr>
          <w:color w:val="000000"/>
        </w:rPr>
        <w:t>”</w:t>
      </w:r>
      <w:r>
        <w:rPr>
          <w:rFonts w:ascii="Times New Roman" w:hAnsi="Times New Roman"/>
          <w:color w:val="000000"/>
          <w:sz w:val="20"/>
        </w:rPr>
        <w:t>), which remains in full force and effect and is incorporated by reference herein. The Restrictive Covenants Agreement, together with any other agreement relating to confidentiality, assignment of inventions or other restrictive covenants, and this Section 5 will collectively be referred to as the “</w:t>
      </w:r>
      <w:r>
        <w:rPr>
          <w:rFonts w:ascii="Times New Roman" w:hAnsi="Times New Roman"/>
          <w:color w:val="000000"/>
          <w:sz w:val="20"/>
          <w:u w:val="single"/>
        </w:rPr>
        <w:t>Continuing Obligations</w:t>
      </w:r>
      <w:r>
        <w:rPr>
          <w:rFonts w:ascii="Times New Roman" w:hAnsi="Times New Roman"/>
          <w:color w:val="000000"/>
          <w:sz w:val="20"/>
        </w:rPr>
        <w:t xml:space="preserve">.” In no event shall any of the Continuing Obligations be construed to or limit your ability to communicate with any federal, state or local governmental agency or commission, including to provide documents or other information, without notice to the Company or participation in any whistleblower program with the Securities and Exchange Commission.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Third Party Agreements and Rights</w:t>
      </w:r>
      <w:r>
        <w:rPr>
          <w:rFonts w:ascii="Times New Roman" w:hAnsi="Times New Roman"/>
          <w:color w:val="000000"/>
          <w:sz w:val="20"/>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b/>
          <w:color w:val="000000"/>
          <w:sz w:val="20"/>
        </w:rPr>
        <w:t>Cooperation</w:t>
      </w:r>
      <w:r>
        <w:rPr>
          <w:rFonts w:ascii="Times New Roman" w:hAnsi="Times New Roman"/>
          <w:color w:val="000000"/>
          <w:sz w:val="20"/>
        </w:rPr>
        <w:t>. During and after your employment, you agree to reasonably and in good faith cooperate with the Company, including in (i) the defense or prosecution of any claims or actions now in existence or which may be brought in the future against or on behalf of the Company which relate to events or occurrences that transpired while you were employed by the Company, (ii) the investigation, whether internal or external, of any matters about which the Company believes the you may have knowledge or information and (iii) transitioning your duties. Your cooperation in connection with such claims, actions or investigations will include, but not be limited to, being available to meet with counsel to answer questions or to prepare for discovery or trial and to act as a witness on behalf of the Company at mutually convenient times. The Company will reimburse you for any reasonable out</w:t>
        <w:noBreakHyphen/>
        <w:t>of</w:t>
        <w:noBreakHyphen/>
        <w:t>pocket expenses incurred in connection with your performance of obligations pursuant to this Section 5(c).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b/>
          <w:color w:val="000000"/>
          <w:sz w:val="20"/>
        </w:rPr>
        <w:t>Relief</w:t>
      </w:r>
      <w:r>
        <w:rPr>
          <w:rFonts w:ascii="Times New Roman" w:hAnsi="Times New Roman"/>
          <w:color w:val="000000"/>
          <w:sz w:val="20"/>
        </w:rPr>
        <w:t>. You agree that it would be difficult to measure any damages caused to the Company which might result from your breach of any of the Continuing Obligations, and that in any event money damages would be an inadequate remedy for any such breach. Accordingly, you agree that if you breach, or propose to breach, any portion of the Continuing Obligations, the Company will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240"/>
        <w:jc w:val="both"/>
        <w:rPr/>
      </w:pPr>
      <w:r>
        <w:rPr>
          <w:rFonts w:ascii="Times New Roman" w:hAnsi="Times New Roman"/>
          <w:b/>
          <w:color w:val="000000"/>
          <w:sz w:val="20"/>
        </w:rPr>
        <w:t>Taxes; Section 409A</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forms of compensation referred to in this Agreement are subject to reduction to reflect applicable withholding and payroll taxes and other deductions required by law. You hereby acknowledge that the Company does not have a duty to design its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compensation policies in a manner that minimizes your tax liabilities, and you will not make any claim against the Company or the Board related to tax liabilities arising from your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The Company and you intend that this Agreement will be administered in accordance with Section 409A of the Internal Revenue Code of 1986, as amended (the “</w:t>
      </w:r>
      <w:r>
        <w:rPr>
          <w:rFonts w:ascii="Times New Roman" w:hAnsi="Times New Roman"/>
          <w:color w:val="000000"/>
          <w:sz w:val="20"/>
          <w:u w:val="single"/>
        </w:rPr>
        <w:t>Code</w:t>
      </w:r>
      <w:r>
        <w:rPr>
          <w:color w:val="000000"/>
        </w:rPr>
        <w:t>”</w:t>
      </w:r>
      <w:r>
        <w:rPr>
          <w:rFonts w:ascii="Times New Roman" w:hAnsi="Times New Roman"/>
          <w:color w:val="000000"/>
          <w:sz w:val="20"/>
        </w:rPr>
        <w:t>). To the extent that any provision of this Agreement is ambiguous as to its compliance with Section 409A of the Code, the provision will be read in such a manner so that all payments hereunder comply with Section 409A of the Code. The Company makes no representation or warranty and will have no liability to you or any other person if any provisions of this Agreement are determined to constitute deferred compensation subject to Section 409A of the Code but do not satisfy an exemption from, or the conditions of, such Section. The Company and you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To the extent that any payment or benefit described in this Agreement (including the Severance Plan)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noBreakHyphen/>
        <w:t>1(h).</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240"/>
        <w:jc w:val="both"/>
        <w:rPr/>
      </w:pPr>
      <w:r>
        <w:rPr>
          <w:rFonts w:ascii="Times New Roman" w:hAnsi="Times New Roman"/>
          <w:b/>
          <w:color w:val="000000"/>
          <w:sz w:val="20"/>
        </w:rPr>
        <w:t>Entire Agreement</w:t>
      </w:r>
      <w:r>
        <w:rPr>
          <w:rFonts w:ascii="Times New Roman" w:hAnsi="Times New Roman"/>
          <w:color w:val="000000"/>
          <w:sz w:val="20"/>
        </w:rPr>
        <w:t xml:space="preserve">. This Agreement, together with the Restrictive Covenants Agreement, the Equity Documents, and the Severance Plan, constitutes the complete agreement between you and the Company, contains all of the terms of your employment with the Company and supersedes any prior agreements, representations or understandings (whether written, oral or implied) between you and the Company related to the subject matter herein.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240"/>
        <w:jc w:val="both"/>
        <w:rPr/>
      </w:pPr>
      <w:r>
        <w:rPr>
          <w:rFonts w:ascii="Times New Roman" w:hAnsi="Times New Roman"/>
          <w:b/>
          <w:color w:val="000000"/>
          <w:sz w:val="20"/>
        </w:rPr>
        <w:t>Governing Law; Jurisdiction</w:t>
      </w:r>
      <w:r>
        <w:rPr>
          <w:rFonts w:ascii="Times New Roman" w:hAnsi="Times New Roman"/>
          <w:color w:val="000000"/>
          <w:sz w:val="20"/>
        </w:rPr>
        <w:t>. This Agreement will be governed by the laws of California without regard to the conflicts of law principles thereof that would require the application of the laws of another jurisdiction. Except as may be expressly provided otherwise, the parties hereby submit to the exclusive jurisdiction of the state and federal courts of California with respect to any dispute arising under this Agreement or otherwise arising out of your employment relationship with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240"/>
        <w:jc w:val="both"/>
        <w:rPr/>
      </w:pPr>
      <w:r>
        <w:rPr>
          <w:rFonts w:ascii="Times New Roman" w:hAnsi="Times New Roman"/>
          <w:b/>
          <w:color w:val="000000"/>
          <w:sz w:val="20"/>
        </w:rPr>
        <w:t>Assignment; Successors and Assigns</w:t>
      </w:r>
      <w:r>
        <w:rPr>
          <w:rFonts w:ascii="Times New Roman" w:hAnsi="Times New Roman"/>
          <w:color w:val="000000"/>
          <w:sz w:val="20"/>
        </w:rPr>
        <w:t xml:space="preserve">. Neither you nor the Company may make any assignment of this Agreement or any interest in it, by operation of law or otherwise, without the prior written consent of the other; </w:t>
      </w:r>
      <w:r>
        <w:rPr>
          <w:rFonts w:ascii="Times New Roman" w:hAnsi="Times New Roman"/>
          <w:i/>
          <w:color w:val="000000"/>
          <w:sz w:val="20"/>
        </w:rPr>
        <w:t>provided, however</w:t>
      </w:r>
      <w:r>
        <w:rPr>
          <w:rFonts w:ascii="Times New Roman" w:hAnsi="Times New Roman"/>
          <w:color w:val="000000"/>
          <w:sz w:val="20"/>
        </w:rPr>
        <w:t xml:space="preserve">, that the Company may assign its rights and obligations under this Agreement without your consent to any affiliate or to any person or entity with whom the Company will hereafter effect a reorganization, consolidate with, or merge into or to whom it transfers all or substantially all of its properties or assets. This Agreement will inure to the benefit of and be binding upon you and the Company, and each of your and its respective successors, executors, administrators, heirs and permitted assigns. In the event of your death after the date of termination but prior to the completion by the Company of all payments due to you under this Agreement, the Company will continue such payments to your beneficiary designated in writing to the Company prior to your death (or to your estate, if you fail to make such designation).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240"/>
        <w:jc w:val="both"/>
        <w:rPr/>
      </w:pPr>
      <w:r>
        <w:rPr>
          <w:rFonts w:ascii="Times New Roman" w:hAnsi="Times New Roman"/>
          <w:b/>
          <w:color w:val="000000"/>
          <w:sz w:val="20"/>
        </w:rPr>
        <w:t>Waiver; Amendment</w:t>
      </w:r>
      <w:r>
        <w:rPr>
          <w:rFonts w:ascii="Times New Roman" w:hAnsi="Times New Roman"/>
          <w:color w:val="000000"/>
          <w:sz w:val="20"/>
        </w:rPr>
        <w:t xml:space="preserve">. No waiver of any provision hereof will be effective unless made in writing and signed by the waiving party. The failure of any party to require the performance of any term or obligation of this Agreement, or the waiver by any party of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breach of this Agreement, will not prevent any subsequent enforcement of such term or obligation or be deemed a waiver of any subsequent breach. This Agreement may be amended or modified only by a written instrument signed by you and by a duly authorized representative of the Company (other than yourself).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both"/>
        <w:rPr/>
      </w:pPr>
      <w:r>
        <w:rPr>
          <w:rFonts w:ascii="Times New Roman" w:hAnsi="Times New Roman"/>
          <w:b/>
          <w:color w:val="000000"/>
          <w:sz w:val="20"/>
        </w:rPr>
        <w:t>Enforceability</w:t>
      </w:r>
      <w:r>
        <w:rPr>
          <w:rFonts w:ascii="Times New Roman" w:hAnsi="Times New Roman"/>
          <w:color w:val="000000"/>
          <w:sz w:val="20"/>
        </w:rPr>
        <w:t>. If any portion or provision of this Agreement (including, without limitation, any portion or provision of any section of this Agreement) will to any extent be declared illegal or unenforceable by a court of competent jurisdiction, then the remainder of this Agreement, or the application of such portion or provision in circumstances other than those as to which it is so declared illegal or unenforceable, will not be affected thereby, and each portion and provision of this Agreement will be valid and enforceable to the fullest extent permitted by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pPr>
      <w:r>
        <w:rPr>
          <w:rFonts w:ascii="Times New Roman" w:hAnsi="Times New Roman"/>
          <w:b/>
          <w:color w:val="000000"/>
          <w:sz w:val="20"/>
        </w:rPr>
        <w:t>Clawback Acknowledgement</w:t>
      </w:r>
      <w:r>
        <w:rPr>
          <w:rFonts w:ascii="Times New Roman" w:hAnsi="Times New Roman"/>
          <w:color w:val="000000"/>
          <w:sz w:val="20"/>
        </w:rPr>
        <w:t>. You acknowledge that you may become subject to the Company’s Compensation Recovery Policy, adopted pursuant to Rule 10D-1 promulgated under the Securities Exchange Act of 1934 and Nasdaq Rule 5608, or any successor rule (the “</w:t>
      </w:r>
      <w:r>
        <w:rPr>
          <w:rFonts w:ascii="Times New Roman" w:hAnsi="Times New Roman"/>
          <w:color w:val="000000"/>
          <w:sz w:val="20"/>
          <w:u w:val="single"/>
        </w:rPr>
        <w:t>Clawback Policy</w:t>
      </w:r>
      <w:r>
        <w:rPr>
          <w:color w:val="000000"/>
        </w:rPr>
        <w:t>”</w:t>
      </w:r>
      <w:r>
        <w:rPr>
          <w:rFonts w:ascii="Times New Roman" w:hAnsi="Times New Roman"/>
          <w:color w:val="000000"/>
          <w:sz w:val="20"/>
        </w:rPr>
        <w:t xml:space="preserve">) pursuant to which the Company and/or the Board shall be entitled to recover all erroneously awarded compensation as set forth in the Clawback Policy from you pursuant to such means as the Company and/or the Board may elect. Any action by the Company to recover erroneously awarded compensation under the Clawback Policy from you shall not, whether alone or in combination with any other action, event or condition, be deemed (i) a Good Reason condition (as defined in the Severance Plan) or serve as a basis for a claim of constructive termination under any benefits or compensation arrangement applicable to you, or (ii) to constitute a breach of a contract or other arrangement to which you are a party.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0" w:after="240"/>
        <w:jc w:val="both"/>
        <w:rPr/>
      </w:pPr>
      <w:r>
        <w:rPr>
          <w:rFonts w:ascii="Times New Roman" w:hAnsi="Times New Roman"/>
          <w:b/>
          <w:color w:val="000000"/>
          <w:sz w:val="20"/>
        </w:rPr>
        <w:t>Other Terms</w:t>
      </w:r>
      <w:r>
        <w:rPr>
          <w:rFonts w:ascii="Times New Roman" w:hAnsi="Times New Roman"/>
          <w:color w:val="000000"/>
          <w:sz w:val="20"/>
        </w:rPr>
        <w:t>. The provisions of this Agreement will survive the termination of this Agreement and/or the termination of your employment to the extent necessary to effectuate the terms contained herein. The headings and other captions in this Agreement are for convenience and reference only and will not be used in interpreting, construing or enforcing any of the provisions of this Agreement. This Agreement may be executed in separate counterparts. When both counterparts are signed, they will be treated together as one and the same document. PDF copies of signed counterparts will be equally effective as originals. PDF copies of signed counterparts will be equally effective as originals.</w:t>
      </w:r>
    </w:p>
    <w:p>
      <w:pPr>
        <w:pStyle w:val="Heading2"/>
        <w:bidi w:val="0"/>
        <w:spacing w:before="0" w:after="240"/>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Signature page follows.</w:t>
      </w:r>
      <w:r>
        <w:rPr>
          <w:rFonts w:ascii="Times New Roman" w:hAnsi="Times New Roman"/>
          <w:b w:val="false"/>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0" w:after="240"/>
        <w:jc w:val="left"/>
        <w:rPr>
          <w:rFonts w:ascii="Times New Roman" w:hAnsi="Times New Roman"/>
          <w:sz w:val="20"/>
        </w:rPr>
      </w:pPr>
      <w:r>
        <w:rPr>
          <w:rFonts w:ascii="Times New Roman" w:hAnsi="Times New Roman"/>
          <w:b w:val="false"/>
          <w:color w:val="000000"/>
          <w:sz w:val="20"/>
        </w:rPr>
        <w:t>To accept this Agreement, please sign and return it at your earliest convenience.</w:t>
      </w:r>
      <w:r>
        <w:rPr>
          <w:rFonts w:ascii="Times New Roman" w:hAnsi="Times New Roman"/>
          <w:color w:val="000000"/>
          <w:sz w:val="20"/>
        </w:rPr>
        <w:t xml:space="preserve"> </w:t>
      </w:r>
    </w:p>
    <w:p>
      <w:pPr>
        <w:pStyle w:val="Heading2"/>
        <w:bidi w:val="0"/>
        <w:spacing w:before="0" w:after="240"/>
        <w:jc w:val="left"/>
        <w:rPr>
          <w:rFonts w:ascii="Times New Roman" w:hAnsi="Times New Roman"/>
          <w:b w:val="false"/>
          <w:color w:val="000000"/>
          <w:sz w:val="20"/>
        </w:rPr>
      </w:pPr>
      <w:r>
        <w:rPr>
          <w:rFonts w:ascii="Times New Roman" w:hAnsi="Times New Roman"/>
          <w:b w:val="false"/>
          <w:color w:val="000000"/>
          <w:sz w:val="20"/>
        </w:rPr>
        <w:t>Very truly yours,</w:t>
      </w:r>
    </w:p>
    <w:p>
      <w:pPr>
        <w:pStyle w:val="Heading2"/>
        <w:bidi w:val="0"/>
        <w:jc w:val="left"/>
        <w:rPr>
          <w:rFonts w:ascii="Times New Roman" w:hAnsi="Times New Roman"/>
          <w:color w:val="000000"/>
          <w:sz w:val="20"/>
        </w:rPr>
      </w:pPr>
      <w:r>
        <w:rPr>
          <w:rFonts w:ascii="Times New Roman" w:hAnsi="Times New Roman"/>
          <w:color w:val="000000"/>
          <w:sz w:val="20"/>
        </w:rPr>
        <w:t>BridgeBio Oncology Therapeutics, Inc.</w:t>
      </w:r>
    </w:p>
    <w:p>
      <w:pPr>
        <w:pStyle w:val="Heading2"/>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Neil Kumar</w:t>
      </w:r>
    </w:p>
    <w:p>
      <w:pPr>
        <w:pStyle w:val="TextBody"/>
        <w:bidi w:val="0"/>
        <w:jc w:val="both"/>
        <w:rPr>
          <w:rFonts w:ascii="Times New Roman" w:hAnsi="Times New Roman"/>
          <w:color w:val="000000"/>
          <w:sz w:val="20"/>
        </w:rPr>
      </w:pPr>
      <w:r>
        <w:rPr>
          <w:rFonts w:ascii="Times New Roman" w:hAnsi="Times New Roman"/>
          <w:color w:val="000000"/>
          <w:sz w:val="20"/>
        </w:rPr>
        <w:t xml:space="preserve">Name: Neil Kumar </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Title: Executive Chairman of the Board</w:t>
      </w:r>
    </w:p>
    <w:p>
      <w:pPr>
        <w:pStyle w:val="Heading2"/>
        <w:bidi w:val="0"/>
        <w:jc w:val="left"/>
        <w:rPr/>
      </w:pPr>
      <w:r>
        <w:rPr/>
        <w:t> </w:t>
      </w:r>
    </w:p>
    <w:p>
      <w:pPr>
        <w:pStyle w:val="Heading2"/>
        <w:bidi w:val="0"/>
        <w:spacing w:before="0" w:after="240"/>
        <w:jc w:val="left"/>
        <w:rPr>
          <w:rFonts w:ascii="Times New Roman" w:hAnsi="Times New Roman"/>
          <w:b w:val="false"/>
          <w:color w:val="000000"/>
          <w:sz w:val="20"/>
        </w:rPr>
      </w:pPr>
      <w:r>
        <w:rPr>
          <w:rFonts w:ascii="Times New Roman" w:hAnsi="Times New Roman"/>
          <w:b w:val="false"/>
          <w:color w:val="000000"/>
          <w:sz w:val="20"/>
        </w:rPr>
        <w:t>Enclosure (Executive Severance Plan)</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I have read and accept this Agreement:</w:t>
      </w:r>
    </w:p>
    <w:p>
      <w:pPr>
        <w:pStyle w:val="TextBody"/>
        <w:bidi w:val="0"/>
        <w:jc w:val="both"/>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 Pedro J. Beltran</w:t>
      </w:r>
    </w:p>
    <w:p>
      <w:pPr>
        <w:pStyle w:val="TextBody"/>
        <w:bidi w:val="0"/>
        <w:jc w:val="left"/>
        <w:rPr>
          <w:rFonts w:ascii="Times New Roman" w:hAnsi="Times New Roman"/>
          <w:color w:val="000000"/>
          <w:sz w:val="20"/>
        </w:rPr>
      </w:pPr>
      <w:r>
        <w:rPr>
          <w:rFonts w:ascii="Times New Roman" w:hAnsi="Times New Roman"/>
          <w:color w:val="000000"/>
          <w:sz w:val="20"/>
        </w:rPr>
        <w:t>Pedro J. Beltran, Ph.D.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Date: </w:t>
      </w:r>
      <w:r>
        <w:rPr>
          <w:rFonts w:ascii="Times New Roman" w:hAnsi="Times New Roman"/>
          <w:color w:val="000000"/>
          <w:sz w:val="20"/>
          <w:u w:val="single"/>
        </w:rPr>
        <w:t>5/11/2026</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May 11, 2026</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Idan Elmelech</w:t>
      </w:r>
    </w:p>
    <w:p>
      <w:pPr>
        <w:pStyle w:val="TextBody"/>
        <w:bidi w:val="0"/>
        <w:spacing w:before="0" w:after="240"/>
        <w:jc w:val="left"/>
        <w:rPr>
          <w:rFonts w:ascii="Times New Roman" w:hAnsi="Times New Roman"/>
          <w:sz w:val="20"/>
        </w:rPr>
      </w:pPr>
      <w:r>
        <w:rPr>
          <w:rFonts w:ascii="Times New Roman" w:hAnsi="Times New Roman"/>
          <w:b/>
          <w:color w:val="000000"/>
          <w:sz w:val="20"/>
        </w:rPr>
        <w:t>Re: Employment Agreement and Executive Severance Plan Participation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Dear Idan:</w:t>
      </w:r>
    </w:p>
    <w:p>
      <w:pPr>
        <w:pStyle w:val="TextBody"/>
        <w:bidi w:val="0"/>
        <w:spacing w:before="0" w:after="240"/>
        <w:jc w:val="both"/>
        <w:rPr>
          <w:rFonts w:ascii="Times New Roman" w:hAnsi="Times New Roman"/>
          <w:sz w:val="20"/>
        </w:rPr>
      </w:pPr>
      <w:r>
        <w:rPr>
          <w:rFonts w:ascii="Times New Roman" w:hAnsi="Times New Roman"/>
          <w:color w:val="000000"/>
          <w:sz w:val="20"/>
        </w:rPr>
        <w:t>This agreement confirms the terms of your employment as Chief Operating Officer of the Company commencing as of the Effective Date (as defined below). If executed, this Employment Agreement and Executive Severance Plan Participation Agreement (the “</w:t>
      </w:r>
      <w:r>
        <w:rPr>
          <w:rFonts w:ascii="Times New Roman" w:hAnsi="Times New Roman"/>
          <w:color w:val="000000"/>
          <w:sz w:val="20"/>
          <w:u w:val="single"/>
        </w:rPr>
        <w:t>Agreement</w:t>
      </w:r>
      <w:r>
        <w:rPr>
          <w:rFonts w:ascii="Times New Roman" w:hAnsi="Times New Roman"/>
          <w:color w:val="000000"/>
          <w:sz w:val="20"/>
        </w:rPr>
        <w:t>”) shall become effective retroactively as of April 20, 2026 (the “</w:t>
      </w:r>
      <w:r>
        <w:rPr>
          <w:rFonts w:ascii="Times New Roman" w:hAnsi="Times New Roman"/>
          <w:color w:val="000000"/>
          <w:sz w:val="20"/>
          <w:u w:val="single"/>
        </w:rPr>
        <w:t>Effective Date</w:t>
      </w:r>
      <w:r>
        <w:rPr>
          <w:rFonts w:ascii="Times New Roman" w:hAnsi="Times New Roman"/>
          <w:color w:val="000000"/>
          <w:sz w:val="20"/>
        </w:rPr>
        <w:t xml:space="preserve">”). </w:t>
      </w:r>
      <w:r>
        <w:rPr>
          <w:rFonts w:ascii="Times New Roman" w:hAnsi="Times New Roman"/>
          <w:color w:val="282828"/>
          <w:sz w:val="20"/>
        </w:rPr>
        <w:t xml:space="preserve">Except with respect to the Equity Documents, the Restrictive Covenants Agreement (as defined below) and the Severance Plan (each as defined below), this Agreement supersedes </w:t>
      </w:r>
      <w:r>
        <w:rPr>
          <w:rFonts w:ascii="Times New Roman" w:hAnsi="Times New Roman"/>
          <w:color w:val="000000"/>
          <w:sz w:val="20"/>
        </w:rPr>
        <w:t>in all respects all prior agreements between you and BridgeBio Oncology Therapeutics, Inc. (the “</w:t>
      </w:r>
      <w:r>
        <w:rPr>
          <w:rFonts w:ascii="Times New Roman" w:hAnsi="Times New Roman"/>
          <w:color w:val="000000"/>
          <w:sz w:val="20"/>
          <w:u w:val="single"/>
        </w:rPr>
        <w:t>Company</w:t>
      </w:r>
      <w:r>
        <w:rPr>
          <w:rFonts w:ascii="Times New Roman" w:hAnsi="Times New Roman"/>
          <w:color w:val="000000"/>
          <w:sz w:val="20"/>
        </w:rPr>
        <w:t>”) (or its predecessor(s)) regarding the subject matter herein, including without limitation (i) the Offer Letter, dated April 16, 2024, by and between you and the Company (the “</w:t>
      </w:r>
      <w:r>
        <w:rPr>
          <w:rFonts w:ascii="Times New Roman" w:hAnsi="Times New Roman"/>
          <w:color w:val="000000"/>
          <w:sz w:val="20"/>
          <w:u w:val="single"/>
        </w:rPr>
        <w:t>Prior Agreement</w:t>
      </w:r>
      <w:r>
        <w:rPr>
          <w:rFonts w:ascii="Times New Roman" w:hAnsi="Times New Roman"/>
          <w:color w:val="000000"/>
          <w:sz w:val="20"/>
        </w:rPr>
        <w:t>”) and (ii) any other offer letter, employment agreement or severance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pPr>
      <w:r>
        <w:rPr>
          <w:rFonts w:ascii="Times New Roman" w:hAnsi="Times New Roman"/>
          <w:b/>
          <w:color w:val="000000"/>
          <w:sz w:val="20"/>
        </w:rPr>
        <w:t>Position</w:t>
      </w:r>
      <w:r>
        <w:rPr>
          <w:rFonts w:ascii="Times New Roman" w:hAnsi="Times New Roman"/>
          <w:color w:val="000000"/>
          <w:sz w:val="20"/>
        </w:rPr>
        <w:t>. As Chief Operating Officer, you will report to the Company’s Chief Executive Officer or another duly authorized executive or manager and you will have such powers and duties as may from time to time be prescribed by the Company. This is a full-time employment position. It is understood and agreed that, while you render services to the Company, any other employment, consulting or other business activities (whether full-time or part-time), must be expressly approved in writing by the Board. Notwithstanding the foregoing, you may engage in religious, charitable and other community activities so long as such activities do not interfere or conflict with your obligations to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pPr>
      <w:r>
        <w:rPr>
          <w:rFonts w:ascii="Times New Roman" w:hAnsi="Times New Roman"/>
          <w:b/>
          <w:color w:val="000000"/>
          <w:sz w:val="20"/>
        </w:rPr>
        <w:t>Compensation and Related Matters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Base Salary</w:t>
      </w:r>
      <w:r>
        <w:rPr>
          <w:rFonts w:ascii="Times New Roman" w:hAnsi="Times New Roman"/>
          <w:color w:val="000000"/>
          <w:sz w:val="20"/>
        </w:rPr>
        <w:t>. Following the Effective Date, the Company will pay you a base salary at the rate of $515,000 per year. Your base salary shall be payable in accordance with the Company’s standard payroll schedule and subject to applicable deductions and withholdings. Your base salary is subject to review and adjustment by the Board or the Compensation Committee thereof (the “</w:t>
      </w:r>
      <w:r>
        <w:rPr>
          <w:rFonts w:ascii="Times New Roman" w:hAnsi="Times New Roman"/>
          <w:color w:val="000000"/>
          <w:sz w:val="20"/>
          <w:u w:val="single"/>
        </w:rPr>
        <w:t>Compensation Committee</w:t>
      </w:r>
      <w:r>
        <w:rPr>
          <w:color w:val="000000"/>
        </w:rPr>
        <w:t>”</w:t>
      </w:r>
      <w:r>
        <w:rPr>
          <w:rFonts w:ascii="Times New Roman" w:hAnsi="Times New Roman"/>
          <w:color w:val="000000"/>
          <w:sz w:val="20"/>
        </w:rPr>
        <w:t>). Your base salary in effect at any given time, whether it is the above-referenced base salary rate or any later determined base salary rate, shall be referred to herein as the “</w:t>
      </w:r>
      <w:r>
        <w:rPr>
          <w:rFonts w:ascii="Times New Roman" w:hAnsi="Times New Roman"/>
          <w:color w:val="000000"/>
          <w:sz w:val="20"/>
          <w:u w:val="single"/>
        </w:rPr>
        <w:t>Base Salary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Bonus</w:t>
      </w:r>
      <w:r>
        <w:rPr>
          <w:rFonts w:ascii="Times New Roman" w:hAnsi="Times New Roman"/>
          <w:color w:val="000000"/>
          <w:sz w:val="20"/>
        </w:rPr>
        <w:t>. You will be eligible to receive an annual performance bonus (the “</w:t>
      </w:r>
      <w:r>
        <w:rPr>
          <w:rFonts w:ascii="Times New Roman" w:hAnsi="Times New Roman"/>
          <w:color w:val="000000"/>
          <w:sz w:val="20"/>
          <w:u w:val="single"/>
        </w:rPr>
        <w:t>Bonus</w:t>
      </w:r>
      <w:r>
        <w:rPr>
          <w:color w:val="000000"/>
        </w:rPr>
        <w:t>”</w:t>
      </w:r>
      <w:r>
        <w:rPr>
          <w:rFonts w:ascii="Times New Roman" w:hAnsi="Times New Roman"/>
          <w:color w:val="000000"/>
          <w:sz w:val="20"/>
        </w:rPr>
        <w:t>) targeted at 40% of your Base Salary. The target annual bonus in effect at any given time is referred to herein as “</w:t>
      </w:r>
      <w:r>
        <w:rPr>
          <w:rFonts w:ascii="Times New Roman" w:hAnsi="Times New Roman"/>
          <w:color w:val="000000"/>
          <w:sz w:val="20"/>
          <w:u w:val="single"/>
        </w:rPr>
        <w:t>Target Bonus</w:t>
      </w:r>
      <w:r>
        <w:rPr>
          <w:rFonts w:ascii="Times New Roman" w:hAnsi="Times New Roman"/>
          <w:color w:val="000000"/>
          <w:sz w:val="20"/>
        </w:rPr>
        <w:t>.” The amount, terms and conditions of the actual Bonus (if any) are to be determined at the sole discretion of the Board or the Compensation Committee thereof. To earn a Bonus, you must be employed by the Company as of the payment date of the Bonus. Any Bonus will be paid no later than March 15</w:t>
      </w:r>
      <w:r>
        <w:rPr>
          <w:rFonts w:ascii="Times New Roman" w:hAnsi="Times New Roman"/>
          <w:color w:val="000000"/>
          <w:sz w:val="13"/>
        </w:rPr>
        <w:t>th</w:t>
      </w:r>
      <w:r>
        <w:rPr>
          <w:color w:val="000000"/>
        </w:rPr>
        <w:t xml:space="preserve"> </w:t>
      </w:r>
      <w:r>
        <w:rPr>
          <w:rFonts w:ascii="Times New Roman" w:hAnsi="Times New Roman"/>
          <w:color w:val="000000"/>
          <w:sz w:val="20"/>
        </w:rPr>
        <w:t>of the calendar year following the calendar year to which the Bonus relates.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b/>
          <w:color w:val="000000"/>
          <w:sz w:val="20"/>
        </w:rPr>
        <w:t>Equity.</w:t>
      </w:r>
      <w:r>
        <w:rPr>
          <w:color w:val="000000"/>
        </w:rPr>
        <w:t xml:space="preserve"> </w:t>
      </w:r>
      <w:r>
        <w:rPr>
          <w:rFonts w:ascii="Times New Roman" w:hAnsi="Times New Roman"/>
          <w:color w:val="000000"/>
          <w:sz w:val="20"/>
        </w:rPr>
        <w:t>The equity awards held by you shall continue to be governed by the terms and conditions of the applicable equity incentive plan(s) of the Company and the applicable award agreement(s) (collectively, the “</w:t>
      </w:r>
      <w:r>
        <w:rPr>
          <w:rFonts w:ascii="Times New Roman" w:hAnsi="Times New Roman"/>
          <w:color w:val="000000"/>
          <w:sz w:val="20"/>
          <w:u w:val="single"/>
        </w:rPr>
        <w:t>Equity Documents</w:t>
      </w:r>
      <w:r>
        <w:rPr>
          <w:color w:val="000000"/>
        </w:rPr>
        <w:t>”</w:t>
      </w:r>
      <w:r>
        <w:rPr>
          <w:rFonts w:ascii="Times New Roman" w:hAnsi="Times New Roman"/>
          <w:color w:val="000000"/>
          <w:sz w:val="20"/>
        </w:rPr>
        <w:t xml:space="preserve">) and, to the extent applicable, the Severance Plan. You may be eligible to receive future equity awards, in the sole discretion of the Board or the Compensation Committee, as applicable.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rFonts w:ascii="Times New Roman" w:hAnsi="Times New Roman"/>
          <w:b/>
          <w:color w:val="000000"/>
          <w:sz w:val="20"/>
        </w:rPr>
        <w:t>Expenses</w:t>
      </w:r>
      <w:r>
        <w:rPr>
          <w:rFonts w:ascii="Times New Roman" w:hAnsi="Times New Roman"/>
          <w:color w:val="000000"/>
          <w:sz w:val="20"/>
        </w:rPr>
        <w:t xml:space="preserve">. You will be entitled to receive prompt reimbursement for all reasonable expenses that you incur in performing services hereunder, in accordance with the policies and procedures then in effect and established by the Company for its executive officers.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b/>
          <w:color w:val="000000"/>
          <w:sz w:val="20"/>
        </w:rPr>
        <w:t>Benefits; Paid Time Off</w:t>
      </w:r>
      <w:r>
        <w:rPr>
          <w:rFonts w:ascii="Times New Roman" w:hAnsi="Times New Roman"/>
          <w:color w:val="000000"/>
          <w:sz w:val="20"/>
        </w:rPr>
        <w:t>. You will continue to be eligible, subject to the terms of the applicable plans and programs, to participate in the employee benefits and insurance programs generally made available to the Company’s full-time employees. You will be eligible for paid time off consistent with the terms of the Company’s applicable paid time off policy, as may be in effect from time to time. The Company reserves the right to modify, amend or cancel any of its benefits plans, programs or policies at any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b/>
          <w:color w:val="000000"/>
          <w:sz w:val="20"/>
        </w:rPr>
        <w:t>Location.</w:t>
      </w:r>
      <w:r>
        <w:rPr>
          <w:color w:val="000000"/>
        </w:rPr>
        <w:t xml:space="preserve"> </w:t>
      </w:r>
      <w:r>
        <w:rPr>
          <w:rFonts w:ascii="Times New Roman" w:hAnsi="Times New Roman"/>
          <w:color w:val="000000"/>
          <w:sz w:val="20"/>
        </w:rPr>
        <w:t>You will primarily work from your remote office, provided, however, that you will be required to travel on business from time to time.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both"/>
        <w:rPr/>
      </w:pPr>
      <w:r>
        <w:rPr>
          <w:rFonts w:ascii="Times New Roman" w:hAnsi="Times New Roman"/>
          <w:b/>
          <w:color w:val="000000"/>
          <w:sz w:val="20"/>
        </w:rPr>
        <w:t xml:space="preserve">At-Will Employment; Accrued Obligations. </w:t>
      </w:r>
      <w:r>
        <w:rPr>
          <w:rFonts w:ascii="Times New Roman" w:hAnsi="Times New Roman"/>
          <w:color w:val="000000"/>
          <w:sz w:val="20"/>
        </w:rPr>
        <w:t xml:space="preserve">At all times your employment is “at will,” meaning you or the Company may terminate it at any time for any or no reason. In the event of the ending of your employment for any reason, the Company will pay you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40"/>
        <w:jc w:val="both"/>
        <w:rPr/>
      </w:pPr>
      <w:r>
        <w:rPr>
          <w:rFonts w:ascii="Times New Roman" w:hAnsi="Times New Roman"/>
          <w:color w:val="000000"/>
          <w:sz w:val="20"/>
        </w:rPr>
        <w:t>(i) your then unpaid Base Salary through the last date of your employment, and (ii) the amount of any documented expenses properly incurred by you on behalf of the Company prior to any such termination and not yet reimbursed, in accordance with Company policy (the “</w:t>
      </w:r>
      <w:r>
        <w:rPr>
          <w:rFonts w:ascii="Times New Roman" w:hAnsi="Times New Roman"/>
          <w:color w:val="000000"/>
          <w:sz w:val="20"/>
          <w:u w:val="single"/>
        </w:rPr>
        <w:t>Accrued Obligations</w:t>
      </w:r>
      <w:r>
        <w:rPr>
          <w:color w:val="000000"/>
        </w:rPr>
        <w:t>”</w:t>
      </w:r>
      <w:r>
        <w:rPr>
          <w:rFonts w:ascii="Times New Roman" w:hAnsi="Times New Roman"/>
          <w:color w:val="000000"/>
          <w:sz w:val="20"/>
        </w:rPr>
        <w:t>). Other than the Accrued Obligations or the severance benefits that may arise pursuant to the Severance Plan, you will not be entitled to any compensation from the Company in connection with the ending of your employment.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240"/>
        <w:jc w:val="both"/>
        <w:rPr/>
      </w:pPr>
      <w:r>
        <w:rPr>
          <w:rFonts w:ascii="Times New Roman" w:hAnsi="Times New Roman"/>
          <w:b/>
          <w:color w:val="000000"/>
          <w:sz w:val="20"/>
        </w:rPr>
        <w:t xml:space="preserve">Executive Severance Plan. </w:t>
      </w:r>
      <w:r>
        <w:rPr>
          <w:rFonts w:ascii="Times New Roman" w:hAnsi="Times New Roman"/>
          <w:color w:val="000000"/>
          <w:sz w:val="20"/>
        </w:rPr>
        <w:t>You will be eligible for certain severance benefits as a Tier 2 Executive as described in Company’s Executive Severance Plan, as amended from time to time (the “</w:t>
      </w:r>
      <w:r>
        <w:rPr>
          <w:rFonts w:ascii="Times New Roman" w:hAnsi="Times New Roman"/>
          <w:color w:val="000000"/>
          <w:sz w:val="20"/>
          <w:u w:val="single"/>
        </w:rPr>
        <w:t>Severance Plan</w:t>
      </w:r>
      <w:r>
        <w:rPr>
          <w:color w:val="000000"/>
        </w:rPr>
        <w:t>”</w:t>
      </w:r>
      <w:r>
        <w:rPr>
          <w:rFonts w:ascii="Times New Roman" w:hAnsi="Times New Roman"/>
          <w:color w:val="000000"/>
          <w:sz w:val="20"/>
        </w:rPr>
        <w:t xml:space="preserve">), a copy of which (excluding the exhibits thereto) is attached hereto as </w:t>
      </w:r>
      <w:r>
        <w:rPr>
          <w:rFonts w:ascii="Times New Roman" w:hAnsi="Times New Roman"/>
          <w:color w:val="000000"/>
          <w:sz w:val="20"/>
          <w:u w:val="single"/>
        </w:rPr>
        <w:t>Exhibit A</w:t>
      </w:r>
      <w:r>
        <w:rPr>
          <w:rFonts w:ascii="Times New Roman" w:hAnsi="Times New Roman"/>
          <w:color w:val="000000"/>
          <w:sz w:val="20"/>
        </w:rPr>
        <w:t>. Any and all such severance benefits are subject to the terms and conditions of the Severance Plan. As a condition to participate in the Severance Plan, you hereby acknowledge that the severance benefits that may be provided to you under the Severance Plan will supersede and replace any severance benefit plan, policy or practice previously maintained by the Company, any of its affiliates, or its predecessors, that may have been applicable to you and any severance benefits under any individually negotiated employment agreement, offer letter or equity award agreement, as may be amended from time to time, between you and the Company, any of its affiliates or its predecessors, including, without limitation, the Prior Agreement. In addition, as a condition to participate in the Severance Plan, you hereby acknowledge that you will continue to comply with the Restrictive Covenants Agreement (or other similar agreements entered into between you and the Company). This Agreement serves as the Participation Agreement for purposes of the Severance Plan and, for the avoidance of doubt, upon your execution of this Agreement, you will be deemed to have accepted the terms of, and to be participating in, the Severance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pPr>
      <w:r>
        <w:rPr>
          <w:rFonts w:ascii="Times New Roman" w:hAnsi="Times New Roman"/>
          <w:b/>
          <w:color w:val="000000"/>
          <w:sz w:val="20"/>
        </w:rPr>
        <w:t>Continuing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Restrictive Covenants Agreement</w:t>
      </w:r>
      <w:r>
        <w:rPr>
          <w:rFonts w:ascii="Times New Roman" w:hAnsi="Times New Roman"/>
          <w:color w:val="000000"/>
          <w:sz w:val="20"/>
        </w:rPr>
        <w:t>. As a condition of your employment, you are required to continue to comply with the Proprietary Information and Inventions Agreement entered into by and between you and the Company’s subsidiary, TheRas, Inc., dated April 29, 2024 (the “</w:t>
      </w:r>
      <w:r>
        <w:rPr>
          <w:rFonts w:ascii="Times New Roman" w:hAnsi="Times New Roman"/>
          <w:color w:val="000000"/>
          <w:sz w:val="20"/>
          <w:u w:val="single"/>
        </w:rPr>
        <w:t>Restrictive Covenants Agreement</w:t>
      </w:r>
      <w:r>
        <w:rPr>
          <w:color w:val="000000"/>
        </w:rPr>
        <w:t>”</w:t>
      </w:r>
      <w:r>
        <w:rPr>
          <w:rFonts w:ascii="Times New Roman" w:hAnsi="Times New Roman"/>
          <w:color w:val="000000"/>
          <w:sz w:val="20"/>
        </w:rPr>
        <w:t>), which remains in full force and effect and is incorporated by reference herein. The Restrictive Covenants Agreement, together with any other agreement relating to confidentiality, assignment of inventions or other restrictive covenants, and this Section 5 will collectively be referred to as the “</w:t>
      </w:r>
      <w:r>
        <w:rPr>
          <w:rFonts w:ascii="Times New Roman" w:hAnsi="Times New Roman"/>
          <w:color w:val="000000"/>
          <w:sz w:val="20"/>
          <w:u w:val="single"/>
        </w:rPr>
        <w:t>Continuing Obligations</w:t>
      </w:r>
      <w:r>
        <w:rPr>
          <w:rFonts w:ascii="Times New Roman" w:hAnsi="Times New Roman"/>
          <w:color w:val="000000"/>
          <w:sz w:val="20"/>
        </w:rPr>
        <w:t>.” In no event shall any of the Continuing Obligations be construed to or limit your ability to communicate with any federal, state or local governmental agency or commission, including to provide documents or other information, without notice to the Company or participation in any whistleblower program with the Securities and Exchange Commission.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Third Party Agreements and Rights</w:t>
      </w:r>
      <w:r>
        <w:rPr>
          <w:rFonts w:ascii="Times New Roman" w:hAnsi="Times New Roman"/>
          <w:color w:val="000000"/>
          <w:sz w:val="20"/>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b/>
          <w:color w:val="000000"/>
          <w:sz w:val="20"/>
        </w:rPr>
        <w:t>Cooperation</w:t>
      </w:r>
      <w:r>
        <w:rPr>
          <w:rFonts w:ascii="Times New Roman" w:hAnsi="Times New Roman"/>
          <w:color w:val="000000"/>
          <w:sz w:val="20"/>
        </w:rPr>
        <w:t>. During and after your employment, you agree to reasonably and in good faith cooperate with the Company, including in (i) the defense or prosecution of any claims or actions now in existence or which may be brought in the future against or on behalf of the Company which relate to events or occurrences that transpired while you were employed by the Company, (ii) the investigation, whether internal or external, of any matters about which the Company believes the you may have knowledge or information and (iii) transitioning your duties. Your cooperation in connection with such claims, actions or investigations will include, but not be limited to, being available to meet with counsel to answer questions or to prepare for discovery or trial and to act as a witness on behalf of the Company at mutually convenient times. The Company will reimburse you for any reasonable out</w:t>
        <w:noBreakHyphen/>
        <w:t>of</w:t>
        <w:noBreakHyphen/>
        <w:t>pocket expenses incurred in connection with your performance of obligations pursuant to this Section 5(c).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b/>
          <w:color w:val="000000"/>
          <w:sz w:val="20"/>
        </w:rPr>
        <w:t>Relief</w:t>
      </w:r>
      <w:r>
        <w:rPr>
          <w:rFonts w:ascii="Times New Roman" w:hAnsi="Times New Roman"/>
          <w:color w:val="000000"/>
          <w:sz w:val="20"/>
        </w:rPr>
        <w:t>. You agree that it would be difficult to measure any damages caused to the Company which might result from your breach of any of the Continuing Obligations, and that in any event money damages would be an inadequate remedy for any such breach. Accordingly, you agree that if you breach, or propose to breach, any portion of the Continuing Obligations, the Company will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240"/>
        <w:jc w:val="both"/>
        <w:rPr/>
      </w:pPr>
      <w:r>
        <w:rPr>
          <w:rFonts w:ascii="Times New Roman" w:hAnsi="Times New Roman"/>
          <w:b/>
          <w:color w:val="000000"/>
          <w:sz w:val="20"/>
        </w:rPr>
        <w:t>Taxes; Section 409A</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The Company and you intend that this Agreement will be administered in accordance with Section 409A of the Internal Revenue Code of 1986, as amended (the “</w:t>
      </w:r>
      <w:r>
        <w:rPr>
          <w:rFonts w:ascii="Times New Roman" w:hAnsi="Times New Roman"/>
          <w:color w:val="000000"/>
          <w:sz w:val="20"/>
          <w:u w:val="single"/>
        </w:rPr>
        <w:t>Code</w:t>
      </w:r>
      <w:r>
        <w:rPr>
          <w:color w:val="000000"/>
        </w:rPr>
        <w:t>”</w:t>
      </w:r>
      <w:r>
        <w:rPr>
          <w:rFonts w:ascii="Times New Roman" w:hAnsi="Times New Roman"/>
          <w:color w:val="000000"/>
          <w:sz w:val="20"/>
        </w:rPr>
        <w:t>). To the extent that any provision of this Agreement is ambiguous as to its compliance with Section 409A of the Code, the provision will be read in such a manner so that all payments hereunder comply with Section 409A of the Code. The Company makes no representation or warranty and will have no liability to you or any other person if any provisions of this Agreement are determined to constitute deferred compensation subject to Section 409A of the Code but do not satisfy an exemption from, or the conditions of, such Section. The Company and you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To the extent that any payment or benefit described in this Agreement (including the Severance Plan)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noBreakHyphen/>
        <w:t>1(h).</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240"/>
        <w:jc w:val="both"/>
        <w:rPr/>
      </w:pPr>
      <w:r>
        <w:rPr>
          <w:rFonts w:ascii="Times New Roman" w:hAnsi="Times New Roman"/>
          <w:b/>
          <w:color w:val="000000"/>
          <w:sz w:val="20"/>
        </w:rPr>
        <w:t>Entire Agreement</w:t>
      </w:r>
      <w:r>
        <w:rPr>
          <w:rFonts w:ascii="Times New Roman" w:hAnsi="Times New Roman"/>
          <w:color w:val="000000"/>
          <w:sz w:val="20"/>
        </w:rPr>
        <w:t xml:space="preserve">. This Agreement, together with the Restrictive Covenants Agreement, the Equity Documents, and the Severance Plan, constitutes the complete agreement between you and the Company, contains all of the terms of your employment with the Company and supersedes any prior agreements, representations or understandings (whether written, oral or implied) between you and the Company related to the subject matter herein.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240"/>
        <w:jc w:val="both"/>
        <w:rPr/>
      </w:pPr>
      <w:r>
        <w:rPr>
          <w:rFonts w:ascii="Times New Roman" w:hAnsi="Times New Roman"/>
          <w:b/>
          <w:color w:val="000000"/>
          <w:sz w:val="20"/>
        </w:rPr>
        <w:t>Governing Law; Jurisdiction</w:t>
      </w:r>
      <w:r>
        <w:rPr>
          <w:rFonts w:ascii="Times New Roman" w:hAnsi="Times New Roman"/>
          <w:color w:val="000000"/>
          <w:sz w:val="20"/>
        </w:rPr>
        <w:t>. This Agreement will be governed by the laws of California without regard to the conflicts of law principles thereof that would require the application of the laws of another jurisdiction. Except as may be expressly provided otherwise, the parties hereby submit to the exclusive jurisdiction of the state and federal courts of California with respect to any dispute arising under this Agreement or otherwise arising out of your employment relationship with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240"/>
        <w:jc w:val="both"/>
        <w:rPr/>
      </w:pPr>
      <w:r>
        <w:rPr>
          <w:rFonts w:ascii="Times New Roman" w:hAnsi="Times New Roman"/>
          <w:b/>
          <w:color w:val="000000"/>
          <w:sz w:val="20"/>
        </w:rPr>
        <w:t>Assignment; Successors and Assigns</w:t>
      </w:r>
      <w:r>
        <w:rPr>
          <w:rFonts w:ascii="Times New Roman" w:hAnsi="Times New Roman"/>
          <w:color w:val="000000"/>
          <w:sz w:val="20"/>
        </w:rPr>
        <w:t xml:space="preserve">. Neither you nor the Company may make any assignment of this Agreement or any interest in it, by operation of law or otherwise, without the prior written consent of the other; </w:t>
      </w:r>
      <w:r>
        <w:rPr>
          <w:rFonts w:ascii="Times New Roman" w:hAnsi="Times New Roman"/>
          <w:i/>
          <w:color w:val="000000"/>
          <w:sz w:val="20"/>
        </w:rPr>
        <w:t>provided, however</w:t>
      </w:r>
      <w:r>
        <w:rPr>
          <w:rFonts w:ascii="Times New Roman" w:hAnsi="Times New Roman"/>
          <w:color w:val="000000"/>
          <w:sz w:val="20"/>
        </w:rPr>
        <w:t xml:space="preserve">, that the Company may assign its rights and obligations under this Agreement without your consent to any affiliate or to any person or entity with whom the Company will hereafter effect a reorganization, consolidate with, or merge into or to whom it transfers all or substantially all of its properties or assets. This Agreement will inure to the benefit of and be binding upon you and the Company, and each of your and its respective successors, executors, administrators, heirs and permitted assigns. In the event of your death after the date of termination but prior to the completion by the Company of all payments due to you under this Agreement, the Company will continue such payments to your beneficiary designated in writing to the Company prior to your death (or to your estate, if you fail to make such designation).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240"/>
        <w:jc w:val="both"/>
        <w:rPr/>
      </w:pPr>
      <w:r>
        <w:rPr>
          <w:rFonts w:ascii="Times New Roman" w:hAnsi="Times New Roman"/>
          <w:b/>
          <w:color w:val="000000"/>
          <w:sz w:val="20"/>
        </w:rPr>
        <w:t>Waiver; Amendment</w:t>
      </w:r>
      <w:r>
        <w:rPr>
          <w:rFonts w:ascii="Times New Roman" w:hAnsi="Times New Roman"/>
          <w:color w:val="000000"/>
          <w:sz w:val="20"/>
        </w:rPr>
        <w:t>. No waiver of any provision hereof will be effective unless made in writing and signed by the waiving party. The failure of any party to require the performance of any term or obligation of this Agreement, or the waiver by any party of any breach of this Agreement, will not prevent any subsequent enforcement of such term or obligation or be deemed a waiver of any subsequent breach. This Agreement may be amended or modified only by a written instrument signed by you and by a duly authorized representative of the Company (other than yourself).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both"/>
        <w:rPr/>
      </w:pPr>
      <w:r>
        <w:rPr>
          <w:rFonts w:ascii="Times New Roman" w:hAnsi="Times New Roman"/>
          <w:b/>
          <w:color w:val="000000"/>
          <w:sz w:val="20"/>
        </w:rPr>
        <w:t>Enforceability</w:t>
      </w:r>
      <w:r>
        <w:rPr>
          <w:rFonts w:ascii="Times New Roman" w:hAnsi="Times New Roman"/>
          <w:color w:val="000000"/>
          <w:sz w:val="20"/>
        </w:rPr>
        <w:t>. If any portion or provision of this Agreement (including, without limitation, any portion or provision of any section of this Agreement) will to any extent be declared illegal or unenforceable by a court of competent jurisdiction, then the remainder of this Agreement, or the application of such portion or provision in circumstances other than those as to which it is so declared illegal or unenforceable, will not be affected thereby, and each portion and provision of this Agreement will be valid and enforceable to the fullest extent permitted by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pPr>
      <w:r>
        <w:rPr>
          <w:rFonts w:ascii="Times New Roman" w:hAnsi="Times New Roman"/>
          <w:b/>
          <w:color w:val="000000"/>
          <w:sz w:val="20"/>
        </w:rPr>
        <w:t>Clawback Acknowledgement</w:t>
      </w:r>
      <w:r>
        <w:rPr>
          <w:rFonts w:ascii="Times New Roman" w:hAnsi="Times New Roman"/>
          <w:color w:val="000000"/>
          <w:sz w:val="20"/>
        </w:rPr>
        <w:t>. You acknowledge that you may become subject to the Company’s Compensation Recovery Policy, adopted pursuant to Rule 10D-1 promulgated under the Securities Exchange Act of 1934 and Nasdaq Rule 5608, or any successor rule (the “</w:t>
      </w:r>
      <w:r>
        <w:rPr>
          <w:rFonts w:ascii="Times New Roman" w:hAnsi="Times New Roman"/>
          <w:color w:val="000000"/>
          <w:sz w:val="20"/>
          <w:u w:val="single"/>
        </w:rPr>
        <w:t>Clawback Policy</w:t>
      </w:r>
      <w:r>
        <w:rPr>
          <w:color w:val="000000"/>
        </w:rPr>
        <w:t>”</w:t>
      </w:r>
      <w:r>
        <w:rPr>
          <w:rFonts w:ascii="Times New Roman" w:hAnsi="Times New Roman"/>
          <w:color w:val="000000"/>
          <w:sz w:val="20"/>
        </w:rPr>
        <w:t xml:space="preserve">) pursuant to which the Company and/or the Board shall be entitled to recover all erroneously awarded compensation as set forth in the Clawback Policy from you pursuant to such means as the Company and/or the Board may elect. Any action by the Company to recover erroneously awarded compensation under the Clawback Policy from you shall not, whether alone or in combination with any other action, event or condition, be deemed (i) a Good Reason condition (as defined in the Severance Plan) or serve as a basis for a claim of constructive termination under any benefits or compensation arrangement applicable to you, or (ii) to constitute a breach of a contract or other arrangement to which you are a party.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0" w:after="240"/>
        <w:jc w:val="both"/>
        <w:rPr/>
      </w:pPr>
      <w:r>
        <w:rPr>
          <w:rFonts w:ascii="Times New Roman" w:hAnsi="Times New Roman"/>
          <w:b/>
          <w:color w:val="000000"/>
          <w:sz w:val="20"/>
        </w:rPr>
        <w:t>Other Terms</w:t>
      </w:r>
      <w:r>
        <w:rPr>
          <w:rFonts w:ascii="Times New Roman" w:hAnsi="Times New Roman"/>
          <w:color w:val="000000"/>
          <w:sz w:val="20"/>
        </w:rPr>
        <w:t>. The provisions of this Agreement will survive the termination of this Agreement and/or the termination of your employment to the extent necessary to effectuate the terms contained herein. The headings and other captions in this Agreement are for convenience and reference only and will not be used in interpreting, construing or enforcing any of the provisions of this Agreement. This Agreement may be executed in separate counterparts. When both counterparts are signed, they will be treated together as one and the same document. PDF copies of signed counterparts will be equally effective as originals. PDF copies of signed counterparts will be equally effective as originals.</w:t>
      </w:r>
    </w:p>
    <w:p>
      <w:pPr>
        <w:pStyle w:val="Heading2"/>
        <w:bidi w:val="0"/>
        <w:spacing w:before="0" w:after="240"/>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Signature page follows.</w:t>
      </w:r>
      <w:r>
        <w:rPr>
          <w:rFonts w:ascii="Times New Roman" w:hAnsi="Times New Roman"/>
          <w:b w:val="false"/>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0" w:after="240"/>
        <w:jc w:val="left"/>
        <w:rPr>
          <w:rFonts w:ascii="Times New Roman" w:hAnsi="Times New Roman"/>
          <w:sz w:val="20"/>
        </w:rPr>
      </w:pPr>
      <w:r>
        <w:rPr>
          <w:rFonts w:ascii="Times New Roman" w:hAnsi="Times New Roman"/>
          <w:b w:val="false"/>
          <w:color w:val="000000"/>
          <w:sz w:val="20"/>
        </w:rPr>
        <w:t>To accept this Agreement, please sign and return it at your earliest convenience.</w:t>
      </w:r>
      <w:r>
        <w:rPr>
          <w:rFonts w:ascii="Times New Roman" w:hAnsi="Times New Roman"/>
          <w:color w:val="000000"/>
          <w:sz w:val="20"/>
        </w:rPr>
        <w:t xml:space="preserve"> </w:t>
      </w:r>
    </w:p>
    <w:p>
      <w:pPr>
        <w:pStyle w:val="Heading2"/>
        <w:bidi w:val="0"/>
        <w:spacing w:before="0" w:after="240"/>
        <w:jc w:val="left"/>
        <w:rPr>
          <w:rFonts w:ascii="Times New Roman" w:hAnsi="Times New Roman"/>
          <w:b w:val="false"/>
          <w:color w:val="000000"/>
          <w:sz w:val="20"/>
        </w:rPr>
      </w:pPr>
      <w:r>
        <w:rPr>
          <w:rFonts w:ascii="Times New Roman" w:hAnsi="Times New Roman"/>
          <w:b w:val="false"/>
          <w:color w:val="000000"/>
          <w:sz w:val="20"/>
        </w:rPr>
        <w:t>Very truly yours,</w:t>
      </w:r>
    </w:p>
    <w:p>
      <w:pPr>
        <w:pStyle w:val="Heading2"/>
        <w:bidi w:val="0"/>
        <w:jc w:val="left"/>
        <w:rPr>
          <w:rFonts w:ascii="Times New Roman" w:hAnsi="Times New Roman"/>
          <w:color w:val="000000"/>
          <w:sz w:val="20"/>
        </w:rPr>
      </w:pPr>
      <w:r>
        <w:rPr>
          <w:rFonts w:ascii="Times New Roman" w:hAnsi="Times New Roman"/>
          <w:color w:val="000000"/>
          <w:sz w:val="20"/>
        </w:rPr>
        <w:t>BridgeBio Oncology Therapeutics, Inc.</w:t>
      </w:r>
    </w:p>
    <w:p>
      <w:pPr>
        <w:pStyle w:val="Heading2"/>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Pedro J. Beltran</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Name: Pedro J. Beltran, Ph.D.</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Title: Chief Executive Officer</w:t>
      </w:r>
    </w:p>
    <w:p>
      <w:pPr>
        <w:pStyle w:val="Heading2"/>
        <w:bidi w:val="0"/>
        <w:jc w:val="left"/>
        <w:rPr/>
      </w:pPr>
      <w:r>
        <w:rPr/>
        <w:t> </w:t>
      </w:r>
    </w:p>
    <w:p>
      <w:pPr>
        <w:pStyle w:val="Heading2"/>
        <w:bidi w:val="0"/>
        <w:spacing w:before="0" w:after="240"/>
        <w:jc w:val="left"/>
        <w:rPr>
          <w:rFonts w:ascii="Times New Roman" w:hAnsi="Times New Roman"/>
          <w:b w:val="false"/>
          <w:color w:val="000000"/>
          <w:sz w:val="20"/>
        </w:rPr>
      </w:pPr>
      <w:r>
        <w:rPr>
          <w:rFonts w:ascii="Times New Roman" w:hAnsi="Times New Roman"/>
          <w:b w:val="false"/>
          <w:color w:val="000000"/>
          <w:sz w:val="20"/>
        </w:rPr>
        <w:t>Enclosure (Executive Severance Plan)</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I have read and accept this Agreement:</w:t>
      </w:r>
    </w:p>
    <w:p>
      <w:pPr>
        <w:pStyle w:val="TextBody"/>
        <w:bidi w:val="0"/>
        <w:jc w:val="both"/>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 Idan Elmelech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Idan Elmelech</w:t>
      </w:r>
    </w:p>
    <w:p>
      <w:pPr>
        <w:pStyle w:val="TextBody"/>
        <w:bidi w:val="0"/>
        <w:jc w:val="both"/>
        <w:rPr>
          <w:rFonts w:ascii="Times New Roman" w:hAnsi="Times New Roman"/>
          <w:sz w:val="20"/>
        </w:rPr>
      </w:pPr>
      <w:r>
        <w:rPr>
          <w:rFonts w:ascii="Times New Roman" w:hAnsi="Times New Roman"/>
          <w:color w:val="000000"/>
          <w:sz w:val="20"/>
        </w:rPr>
        <w:t xml:space="preserve">Date: </w:t>
      </w:r>
      <w:r>
        <w:rPr>
          <w:rFonts w:ascii="Times New Roman" w:hAnsi="Times New Roman"/>
          <w:color w:val="000000"/>
          <w:sz w:val="20"/>
          <w:u w:val="single"/>
        </w:rPr>
        <w:t>5/11/2026</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CONSULTING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April 21, 2026 (“Effective Date”), Dr. Eli Wallace (“Consultant”) and BridgeBio Oncology Therapeutics, Inc. (“Company”)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u w:val="single"/>
        </w:rPr>
        <w:t>Services; No Violation of Rights or Obligations</w:t>
      </w:r>
      <w:r>
        <w:rPr>
          <w:rFonts w:ascii="Times New Roman" w:hAnsi="Times New Roman"/>
          <w:color w:val="000000"/>
          <w:sz w:val="20"/>
        </w:rPr>
        <w:t xml:space="preserve">. Consultant agrees to undertake and complete the Services (as defined in Exhibit A) in accordance with and on the schedule specified in </w:t>
      </w:r>
      <w:r>
        <w:rPr>
          <w:rFonts w:ascii="Times New Roman" w:hAnsi="Times New Roman"/>
          <w:color w:val="000000"/>
          <w:sz w:val="20"/>
          <w:u w:val="single"/>
        </w:rPr>
        <w:t>Attachment A</w:t>
      </w:r>
      <w:r>
        <w:rPr>
          <w:rFonts w:ascii="Times New Roman" w:hAnsi="Times New Roman"/>
          <w:color w:val="000000"/>
          <w:sz w:val="20"/>
        </w:rPr>
        <w:t xml:space="preserve">. The only consideration due Consultant regarding the subject matter of this Agreement is set forth on </w:t>
      </w:r>
      <w:r>
        <w:rPr>
          <w:rFonts w:ascii="Times New Roman" w:hAnsi="Times New Roman"/>
          <w:color w:val="000000"/>
          <w:sz w:val="20"/>
          <w:u w:val="single"/>
        </w:rPr>
        <w:t>Attachment A</w:t>
      </w:r>
      <w:r>
        <w:rPr>
          <w:rFonts w:ascii="Times New Roman" w:hAnsi="Times New Roman"/>
          <w:color w:val="000000"/>
          <w:sz w:val="20"/>
        </w:rPr>
        <w:t>. Unless otherwise specifically agreed upon by Company in writing (and notwithstanding any other provision of this Agreement), all activity relating to Services will be performed by and only by Consultant or by employees of Consultant and only those such employees who have been approved in writing in advance by Company.</w:t>
      </w:r>
      <w:r>
        <w:rPr>
          <w:color w:val="000000"/>
        </w:rPr>
        <w:t xml:space="preserve"> </w:t>
      </w:r>
      <w:r>
        <w:rPr>
          <w:rFonts w:ascii="Times New Roman" w:hAnsi="Times New Roman"/>
          <w:color w:val="000000"/>
          <w:sz w:val="20"/>
        </w:rPr>
        <w:t>Consultant agrees that it will not (and will not permit others to) violate any agreement with or rights of any third party or, except as expressly authorized by Company in writing hereafter, use or disclose at any time Consultant’s own or any third party’s confidential information or intellectual property in connection with the Services or otherwise for or on behalf of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color w:val="000000"/>
          <w:sz w:val="20"/>
          <w:u w:val="single"/>
        </w:rPr>
        <w:t>Ownership Rights; Proprietary Information; Publicity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Company shall own all right, title and interest (including all intellectual property rights of any sort throughout the world) relating to any and all inventions, works of authorship, designs, know-how, ideas and information made or conceived or reduced to practice, in whole or in part, by or for or on behalf of Consultant during the term of this Agreement that relate to the subject matter of or arise out of or in connection with the Services</w:t>
      </w:r>
      <w:r>
        <w:rPr>
          <w:color w:val="000000"/>
        </w:rPr>
        <w:t xml:space="preserve"> </w:t>
      </w:r>
      <w:r>
        <w:rPr>
          <w:rFonts w:ascii="Times New Roman" w:hAnsi="Times New Roman"/>
          <w:color w:val="000000"/>
          <w:sz w:val="20"/>
        </w:rPr>
        <w:t>or any Proprietary Information (as defined below) (collectively, “Inventions”) and Consultant will promptly disclose and provide all Inventions to Company. Consultant hereby makes all assignments necessary to accomplish the foregoing ownership. Consultant shall assist Company, at Company’s expense, to further evidence, record and perfect such assignments, and to perfect, obtain, maintain, enforce and defend any rights assigned. Consultant hereby irrevocably designates and appoints Company as its agents and attorneys-in-fact, coupled with an interest, to act for and on Consultant’s behalf to execute and file any document and to do all other lawfully permitted acts to further the foregoing with the same legal force and effect as if executed by Consultant and all other creators or owners of the applicable Invention.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Consultant agrees that all Inventions and all other business, technical and financial information (including, without limitation, the identity of and information relating to customers or employees) developed, learned or obtained by or on behalf of Consultant during the period that Consultant is to be providing the Services that relate to Company or the business or demonstrably anticipated business of Company or in connection with the Services or that are received by or for Company in confidence, constitute “Proprietary Information.” Consultant shall hold in confidence and not disclose or, except in performing the Services, use any Proprietary Information. However, Consultant shall not be obligated under this paragraph with respect to information Consultant can document is or becomes readily publicly available without restriction through no fault of Consultant. Upon termination or as otherwise requested by Company, Consultant will promptly provide to Company all items and copies containing or embodying Proprietary Information, except that Consultant may keep its personal copies of its compensation records and this Agreement. Consultant also recognizes and agrees that Consultant has no expectation of privacy with respect to Company’s telecommunications, networking or information processing systems (including, without limitation, stored computer files, email messages and voice messages) and that Consultant’s activity, and any files or messages, on or using any of those systems may be monitored at any time without notice.</w:t>
      </w: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As additional protection for Proprietary Information, to the extent permitted under applicable law, Consultant agrees that during the period over which it is to be providing the Services (i) and for one (1) year thereafter, Consultant will not directly or indirectly encourage or solicit any employee or consultant of Company to leave Company for any reason and (ii) Consultant will not engage in any activity that is in any way competitive with the business or demonstrably anticipated business of Company, and Consultant will not assist any other person or organization in competing or in preparing to compete with any business or demonstrably anticipated business of Company. Without limiting the foregoing, Consultant may perform services for other persons, provided that such services do not represent a conflict of interest or a breach of Consultant’s obligation under this Agreement or otherwise.</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allowed by law, Section 2(a) and any license granted Company hereunder includes all rights of paternity, integrity, disclosure and withdrawal and any other rights that may be known as or referred to as “moral rights,” “artist’s rights,” “droit moral,” or the like (collectively “Moral Rights”). Furthermore, Consultant agrees that notwithstanding any rights of publicity, privacy or otherwise (whether or not statutory) anywhere in the world, and without any further compensation, Company may and is hereby authorized to (and to allow others to) use Consultant’s name in connection with promotion of its business, products or services. To the extent any of the foregoing is ineffective under applicable law, Consultant hereby provides any and all ratifications and consents necessary to accomplish the purposes of the foregoing to the extent possible and agrees not to assert any Moral Rights with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respect thereto. Consultant will confirm any such ratifications and consents from time to time as requested by Company. If any other person is in any way involved in any Services, Consultant will obtain the foregoing ratifications, consents and authorizations from such person for Company’s exclusive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If any part of the Services or Inventions or information provided hereunder is based on, incorporates, or is an improvement or derivative of, or cannot be reasonably and fully made, used, reproduced, distributed and otherwise exploited without using or violating technology or intellectual property rights owned by or licensed to Consultant (or any person involved in the Services)</w:t>
      </w:r>
      <w:r>
        <w:rPr>
          <w:color w:val="000000"/>
        </w:rPr>
        <w:t xml:space="preserve"> </w:t>
      </w:r>
      <w:r>
        <w:rPr>
          <w:rFonts w:ascii="Times New Roman" w:hAnsi="Times New Roman"/>
          <w:color w:val="000000"/>
          <w:sz w:val="20"/>
        </w:rPr>
        <w:t xml:space="preserve">and not assigned hereunder, Consultant hereby grants Company and its successors a perpetual, irrevocable, worldwide royalty-free, non-exclusive, sublicensable right and license to exploit and exercise all such technology and intellectual property rights in support of Company’s exercise or exploitation of the Services, Inventions, other work or information performed or provided hereunder, or any assigned rights (including any modifications, improvements and derivatives of any of them).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color w:val="000000"/>
          <w:sz w:val="20"/>
          <w:u w:val="single"/>
        </w:rPr>
        <w:t>Warranties and Other Obligations</w:t>
      </w:r>
      <w:r>
        <w:rPr>
          <w:rFonts w:ascii="Times New Roman" w:hAnsi="Times New Roman"/>
          <w:color w:val="000000"/>
          <w:sz w:val="20"/>
        </w:rPr>
        <w:t>. Consultant represents, warrants and covenants that: (i) the Services will be performed in a professional and workmanlike manner and that none of such Services nor any part of this Agreement is or will be inconsistent with any obligation Consultant may have to others; (ii) all work under this Agreement shall be Consultant’s original work and none of the Services or Inventions nor any development, use, production, distribution or exploitation thereof will infringe, misappropriate or violate any intellectual property or other right of any person or entity (including, without limitation, Consultant); (iii) Consultant has the full right to allow it to provide Company with the assignments and rights provided for herein (and has written enforceable agreements with all persons necessary to give it the rights to do the foregoing and otherwise fully perform this Agreement); (iv) Consultant shall comply with all applicable laws and Company safety rules in the course of performing the Services; and (v) if Consultant’s work requires a license, Consultant has obtained that license and the license is in full force and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color w:val="000000"/>
          <w:sz w:val="20"/>
          <w:u w:val="single"/>
        </w:rPr>
        <w:t>Termination</w:t>
      </w:r>
      <w:r>
        <w:rPr>
          <w:rFonts w:ascii="Times New Roman" w:hAnsi="Times New Roman"/>
          <w:color w:val="000000"/>
          <w:sz w:val="20"/>
        </w:rPr>
        <w:t xml:space="preserve">. This Agreement, and Consultant’s independent contractor relationship with Company, will be for the period beginning on the Effective Date and ending on the date twelve (12) months after the Effective Date, unless sooner terminated pursuant to this Section 4 (the applicable period being the “Term”). If either party breaches a material provision of this Agreement, the other party may terminate this Agreement upon ten (10) days’ notice, unless the breach is cured within the notice period; provided that in the event of any material breach by Consultant of any confidentiality, non-solicitation or other similar restrictive-covenant obligations to Company under this Agreement or otherwise, Company may terminate this Agreement with immediate effect. Sections 2 (subject to the limitations set forth in Section 2(c)) through 9 of this Agreement and any remedies for breach of this Agreement shall survive any termination or expiration. Company may communicate the obligations contained in this Agreement to any other (or potential) client or employer of Consultant.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pPr>
      <w:r>
        <w:rPr>
          <w:rFonts w:ascii="Times New Roman" w:hAnsi="Times New Roman"/>
          <w:color w:val="000000"/>
          <w:sz w:val="20"/>
          <w:u w:val="single"/>
        </w:rPr>
        <w:t>Relationship of the Parties; Independent Contractor; No Employee Benefits</w:t>
      </w:r>
      <w:r>
        <w:rPr>
          <w:rFonts w:ascii="Times New Roman" w:hAnsi="Times New Roman"/>
          <w:color w:val="000000"/>
          <w:sz w:val="20"/>
        </w:rPr>
        <w:t xml:space="preserve">. Consultant is an independent contractor and is not an employee, agent, partner or joint venturer of Company and shall not bind nor attempt to bind Company to any contract. Company shall provide direction pertaining to the goals to be attained and the results to be achieved by Consultant, but Company shall not control or direct the manner or means by which Consultant or Consultant’s employees or contractors perform the Services, including but not limited to the time and place Consultant performs the Services. The Services to be performed are outside the usual course of Company’s business. Consultant is customarily engaged in an independently established trade, occupation, or business of the same nature as the Services performed. Consultant shall not be eligible to participate in any of Company’s employee benefit plans, fringe benefit programs, group insurance arrangements or similar programs. Company shall not provide workers’ compensation, disability insurance, Social Security or unemployment compensation coverage or any other statutory benefit to Consultant. Consultant shall comply at Consultant’s expense with all applicable provisions of workers’ compensation laws, unemployment compensation laws, federal Social Security law, the Fair Labor Standards Act, federal, state and local income tax laws, and all other applicable federal, state and local laws, regulations and codes relating to terms and conditions of employment required to be fulfilled by employers or independent contractors. Unless otherwise stated on </w:t>
      </w:r>
      <w:r>
        <w:rPr>
          <w:rFonts w:ascii="Times New Roman" w:hAnsi="Times New Roman"/>
          <w:color w:val="000000"/>
          <w:sz w:val="20"/>
          <w:u w:val="single"/>
        </w:rPr>
        <w:t>Attachment A</w:t>
      </w:r>
      <w:r>
        <w:rPr>
          <w:rFonts w:ascii="Times New Roman" w:hAnsi="Times New Roman"/>
          <w:color w:val="000000"/>
          <w:sz w:val="20"/>
        </w:rPr>
        <w:t xml:space="preserve">, Consultant shall furnish, at Consultant’s own expense, the materials, equipment, supplies, and other resources necessary to perform the Services and shall be responsible for any travel or other costs or expenses incurred by Consultant in connection with the performance of the Services. Consultant agrees to indemnify Company from any and all claims, damages, liability, settlement, attorneys’ fees and expenses, as incurred, on account of the foregoing or any breach of this Agreement or any other action or inaction by or for or on behalf of Consultant.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pPr>
      <w:r>
        <w:rPr>
          <w:rFonts w:ascii="Times New Roman" w:hAnsi="Times New Roman"/>
          <w:color w:val="000000"/>
          <w:sz w:val="20"/>
          <w:u w:val="single"/>
        </w:rPr>
        <w:t>Assignment</w:t>
      </w:r>
      <w:r>
        <w:rPr>
          <w:rFonts w:ascii="Times New Roman" w:hAnsi="Times New Roman"/>
          <w:color w:val="000000"/>
          <w:sz w:val="20"/>
        </w:rPr>
        <w:t xml:space="preserve">. This Agreement and the services contemplated hereunder are personal to Consultant and Consultant shall not have the right or ability to assign, transfer or subcontract any rights or obligations under this Agreement without the written consent of Company. Any attempt to do so shall be void. Company may fully assign and transfer this Agreement in whole or part.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pPr>
      <w:r>
        <w:rPr>
          <w:rFonts w:ascii="Times New Roman" w:hAnsi="Times New Roman"/>
          <w:color w:val="000000"/>
          <w:sz w:val="20"/>
          <w:u w:val="single"/>
        </w:rPr>
        <w:t>Notice</w:t>
      </w:r>
      <w:r>
        <w:rPr>
          <w:rFonts w:ascii="Times New Roman" w:hAnsi="Times New Roman"/>
          <w:color w:val="000000"/>
          <w:sz w:val="20"/>
        </w:rPr>
        <w:t>. All notices under this Agreement shall be in writing and shall be deemed given when personally delivered or by electronic mail, or three days after being sent by prepaid certified or registered U.S. mail to the address of the party to be noticed as set forth herein or to such other address as such party last provided to the other by written notice.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pPr>
      <w:r>
        <w:rPr>
          <w:rFonts w:ascii="Times New Roman" w:hAnsi="Times New Roman"/>
          <w:color w:val="000000"/>
          <w:sz w:val="20"/>
          <w:u w:val="single"/>
        </w:rPr>
        <w:t>Miscellaneous</w:t>
      </w:r>
      <w:r>
        <w:rPr>
          <w:rFonts w:ascii="Times New Roman" w:hAnsi="Times New Roman"/>
          <w:color w:val="000000"/>
          <w:sz w:val="20"/>
        </w:rPr>
        <w:t xml:space="preserve">. Any breach of Section 2 or 3 will cause irreparable harm to Company for which damages would not be an adequate remedy, and therefore, Company will be entitled to injunctive relief with respect thereto in addition to any other remedies. The failure of either party to enforce its rights under this Agreement at any time for any period shall not be construed as a waiver of such rights. No changes or modifications or waivers to this Agreement will be effective unless in writing and signed by both parties. In the event that any provision of this Agreement shall be determined to be illegal or unenforceable, that provision will be limited or eliminated to the minimum extent necessary so that this Agreement shall otherwise remain in full force and effect and enforceable. This Agreement shall be governed by and construed in accordance with the laws of the State of Colorado without regard to the conflicts of laws provisions thereof. In any action or proceeding to enforce rights under this Agreement, the prevailing party will be entitled to recover costs and attorneys’ fees. Headings herein are for convenience of reference only and shall in no way affect interpretation of the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pPr>
      <w:r>
        <w:rPr>
          <w:rFonts w:ascii="Times New Roman" w:hAnsi="Times New Roman"/>
          <w:color w:val="000000"/>
          <w:sz w:val="20"/>
          <w:u w:val="single"/>
        </w:rPr>
        <w:t>Defend Trade Secrets Act of 2016; Other Notices</w:t>
      </w:r>
      <w:r>
        <w:rPr>
          <w:rFonts w:ascii="Times New Roman" w:hAnsi="Times New Roman"/>
          <w:color w:val="000000"/>
          <w:sz w:val="20"/>
        </w:rPr>
        <w:t>. Consultant understands that pursuant to the federal Defend Trade Secrets Act of 2016, Consultant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Consultant further understands that nothing contained in this Agreement limits Consultant’s ability to communicate with any federal, state or local governmental agency or commission, including to provide documents or other information, without notice to the Company.</w:t>
      </w:r>
    </w:p>
    <w:p>
      <w:pPr>
        <w:pStyle w:val="TextBody"/>
        <w:bidi w:val="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jc w:val="both"/>
        <w:rPr/>
      </w:pPr>
      <w:r>
        <w:rPr/>
        <w:t> </w:t>
      </w:r>
    </w:p>
    <w:p>
      <w:pPr>
        <w:pStyle w:val="TextBody"/>
        <w:bidi w:val="0"/>
        <w:jc w:val="both"/>
        <w:rPr/>
      </w:pPr>
      <w:r>
        <w:rPr/>
        <w:t> </w:t>
      </w:r>
    </w:p>
    <w:p>
      <w:pPr>
        <w:pStyle w:val="TextBody"/>
        <w:bidi w:val="0"/>
        <w:spacing w:before="0" w:after="480"/>
        <w:jc w:val="both"/>
        <w:rPr>
          <w:rFonts w:ascii="Times New Roman" w:hAnsi="Times New Roman"/>
          <w:b/>
          <w:color w:val="000000"/>
          <w:sz w:val="20"/>
        </w:rPr>
      </w:pPr>
      <w:r>
        <w:rPr>
          <w:rFonts w:ascii="Times New Roman" w:hAnsi="Times New Roman"/>
          <w:b/>
          <w:color w:val="000000"/>
          <w:sz w:val="20"/>
        </w:rPr>
        <w:t>BridgeBio Oncology Therapeutics, Inc.</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Jake Bauer</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Jake Bauer</w:t>
      </w:r>
    </w:p>
    <w:p>
      <w:pPr>
        <w:pStyle w:val="TextBody"/>
        <w:bidi w:val="0"/>
        <w:spacing w:before="0" w:after="720"/>
        <w:jc w:val="both"/>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Chairman of the Board</w:t>
      </w:r>
    </w:p>
    <w:p>
      <w:pPr>
        <w:pStyle w:val="TextBody"/>
        <w:bidi w:val="0"/>
        <w:spacing w:before="0" w:after="720"/>
        <w:jc w:val="both"/>
        <w:rPr>
          <w:rFonts w:ascii="Times New Roman" w:hAnsi="Times New Roman"/>
          <w:b/>
          <w:color w:val="000000"/>
          <w:sz w:val="20"/>
        </w:rPr>
      </w:pPr>
      <w:r>
        <w:rPr>
          <w:rFonts w:ascii="Times New Roman" w:hAnsi="Times New Roman"/>
          <w:b/>
          <w:color w:val="000000"/>
          <w:sz w:val="20"/>
        </w:rPr>
        <w:t>Dr. Eli Wallace</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Eli Wallace</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Eli Wallace</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Address: </w:t>
      </w:r>
      <w:r>
        <w:rPr>
          <w:rFonts w:ascii="Times New Roman" w:hAnsi="Times New Roman"/>
          <w:color w:val="000000"/>
          <w:sz w:val="20"/>
          <w:u w:val="single"/>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pPr>
      <w:r>
        <w:rPr/>
        <w:t> </w:t>
      </w:r>
    </w:p>
    <w:p>
      <w:pPr>
        <w:pStyle w:val="TextBody"/>
        <w:bidi w:val="0"/>
        <w:spacing w:before="0" w:after="600"/>
        <w:jc w:val="center"/>
        <w:rPr>
          <w:rFonts w:ascii="Times New Roman" w:hAnsi="Times New Roman"/>
          <w:b/>
          <w:color w:val="000000"/>
          <w:sz w:val="20"/>
          <w:u w:val="single"/>
        </w:rPr>
      </w:pPr>
      <w:r>
        <w:rPr>
          <w:rFonts w:ascii="Times New Roman" w:hAnsi="Times New Roman"/>
          <w:b/>
          <w:color w:val="000000"/>
          <w:sz w:val="20"/>
          <w:u w:val="single"/>
        </w:rPr>
        <w:t>ATTACHMENT A</w:t>
      </w:r>
    </w:p>
    <w:p>
      <w:pPr>
        <w:pStyle w:val="TextBody"/>
        <w:bidi w:val="0"/>
        <w:jc w:val="both"/>
        <w:rPr>
          <w:rFonts w:ascii="Times New Roman" w:hAnsi="Times New Roman"/>
          <w:sz w:val="20"/>
        </w:rPr>
      </w:pPr>
      <w:r>
        <w:rPr>
          <w:rFonts w:ascii="Times New Roman" w:hAnsi="Times New Roman"/>
          <w:b/>
          <w:color w:val="000000"/>
          <w:sz w:val="20"/>
          <w:u w:val="single"/>
        </w:rPr>
        <w:t>SERVICES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Consultant’s “</w:t>
      </w:r>
      <w:r>
        <w:rPr>
          <w:rFonts w:ascii="Times New Roman" w:hAnsi="Times New Roman"/>
          <w:b/>
          <w:color w:val="000000"/>
          <w:sz w:val="20"/>
        </w:rPr>
        <w:t>Services</w:t>
      </w:r>
      <w:r>
        <w:rPr>
          <w:rFonts w:ascii="Times New Roman" w:hAnsi="Times New Roman"/>
          <w:color w:val="000000"/>
          <w:sz w:val="20"/>
        </w:rPr>
        <w:t>” under the Consulting Agreement shall be to advise regarding the Company’s research and development programs as requested by the Company from time to time.</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exclusive compensation for the Services and the rights granted to the Company in this Agreement, Consultant shall continue to vest in the equity grant(s) Consultant holds as of the Effective Date and such equity awards shall continue to be governed by the terms of the Company’s equity plan under which the awards were granted and the equity agreement(s) covering each such award.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Pedro J. Beltran, Ph.D.,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Form 10-Q of BridgeBio Oncology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634" w:type="dxa"/>
        <w:jc w:val="left"/>
        <w:tblInd w:w="0" w:type="dxa"/>
        <w:tblLayout w:type="fixed"/>
        <w:tblCellMar>
          <w:top w:w="28" w:type="dxa"/>
          <w:left w:w="28" w:type="dxa"/>
          <w:bottom w:w="28" w:type="dxa"/>
          <w:right w:w="28" w:type="dxa"/>
        </w:tblCellMar>
      </w:tblPr>
      <w:tblGrid>
        <w:gridCol w:w="1951"/>
        <w:gridCol w:w="146"/>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Pedro J. Beltran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Pedro J. Beltran,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Idan Elmelech,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Form 10-Q of BridgeBio Oncology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7327" w:type="dxa"/>
        <w:jc w:val="left"/>
        <w:tblInd w:w="0" w:type="dxa"/>
        <w:tblLayout w:type="fixed"/>
        <w:tblCellMar>
          <w:top w:w="28" w:type="dxa"/>
          <w:left w:w="28" w:type="dxa"/>
          <w:bottom w:w="28" w:type="dxa"/>
          <w:right w:w="28" w:type="dxa"/>
        </w:tblCellMar>
      </w:tblPr>
      <w:tblGrid>
        <w:gridCol w:w="1951"/>
        <w:gridCol w:w="109"/>
        <w:gridCol w:w="406"/>
        <w:gridCol w:w="486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Operating Officer and Principal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BridgeBio Oncology Therapeutics, Inc. (the “Company”) on Form 10-Q for the period ending June 30, 2026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Pedro J. Beltran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Pedro J. Beltran,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BridgeBio Oncology Therapeutics, Inc. (the “Company”) on Form 10-Q for the period ending June 30, 2026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Chief Operating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9105/000119312526219829/bbot-ex2_1.htm" TargetMode="External"/><Relationship Id="rId3" Type="http://schemas.openxmlformats.org/officeDocument/2006/relationships/hyperlink" Target="https://www.sec.gov/Archives/edgar/data/1869105/000119312526219829/bbot-ex2_2.htm" TargetMode="External"/><Relationship Id="rId4" Type="http://schemas.openxmlformats.org/officeDocument/2006/relationships/hyperlink" Target="https://www.sec.gov/Archives/edgar/data/1869105/000119312526219829/bbot-ex2_2.htm" TargetMode="External"/><Relationship Id="rId5" Type="http://schemas.openxmlformats.org/officeDocument/2006/relationships/hyperlink" Target="https://www.sec.gov/Archives/edgar/data/1869105/000119312526219829/bbot-ex2_1.htm" TargetMode="External"/><Relationship Id="rId6" Type="http://schemas.openxmlformats.org/officeDocument/2006/relationships/hyperlink" Target="https://www.sec.gov/Archives/edgar/data/1869105/000119312526219829/bbot-ex2_2.htm" TargetMode="External"/><Relationship Id="rId7" Type="http://schemas.openxmlformats.org/officeDocument/2006/relationships/hyperlink" Target="https://www.sec.gov/Archives/edgar/data/1869105/000121390025075190/ea025066201ex3-1_bridge.htm" TargetMode="External"/><Relationship Id="rId8" Type="http://schemas.openxmlformats.org/officeDocument/2006/relationships/hyperlink" Target="https://www.sec.gov/Archives/edgar/data/1869105/000121390025075190/ea025066201ex3-2_bridge.htm" TargetMode="External"/><Relationship Id="rId9" Type="http://schemas.openxmlformats.org/officeDocument/2006/relationships/hyperlink" Target="https://www.sec.gov/Archives/edgar/data/1869105/000121390025056321/ea023740105ex4-1_helix2.htm" TargetMode="External"/><Relationship Id="rId10" Type="http://schemas.openxmlformats.org/officeDocument/2006/relationships/hyperlink" Target="https://www.sec.gov/Archives/edgar/data/1869105/000119312526344661/bbot-ex10_1.htm" TargetMode="External"/><Relationship Id="rId11" Type="http://schemas.openxmlformats.org/officeDocument/2006/relationships/hyperlink" Target="https://www.sec.gov/Archives/edgar/data/1869105/000119312526344661/bbot-ex10_2.htm" TargetMode="External"/><Relationship Id="rId12" Type="http://schemas.openxmlformats.org/officeDocument/2006/relationships/hyperlink" Target="https://www.sec.gov/Archives/edgar/data/1869105/000119312526344661/bbot-ex10_3.htm" TargetMode="External"/><Relationship Id="rId13" Type="http://schemas.openxmlformats.org/officeDocument/2006/relationships/hyperlink" Target="https://www.sec.gov/Archives/edgar/data/1869105/000119312526344661/bbot-ex10_4.htm" TargetMode="External"/><Relationship Id="rId14" Type="http://schemas.openxmlformats.org/officeDocument/2006/relationships/hyperlink" Target="https://www.sec.gov/Archives/edgar/data/1869105/000119312526344661/bbot-ex31_1.htm" TargetMode="External"/><Relationship Id="rId15" Type="http://schemas.openxmlformats.org/officeDocument/2006/relationships/hyperlink" Target="https://www.sec.gov/Archives/edgar/data/1869105/000119312526344661/bbot-ex31_2.htm" TargetMode="External"/><Relationship Id="rId16" Type="http://schemas.openxmlformats.org/officeDocument/2006/relationships/hyperlink" Target="https://www.sec.gov/Archives/edgar/data/1869105/000119312526344661/bbot-ex32_1.htm" TargetMode="External"/><Relationship Id="rId17" Type="http://schemas.openxmlformats.org/officeDocument/2006/relationships/hyperlink" Target="https://www.sec.gov/Archives/edgar/data/1869105/000119312526344661/bbot-ex32_2.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85889</Words>
  <Characters>481339</Characters>
  <CharactersWithSpaces>566907</CharactersWithSpaces>
  <Paragraphs>6191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