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-629920</wp:posOffset>
            </wp:positionV>
            <wp:extent cx="58420" cy="64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748665</wp:posOffset>
            </wp:positionV>
            <wp:extent cx="6992620" cy="4892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89267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McKenna Mark C.</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HELIX ACQUISITION CORP. II</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STREET, 52ND FLOOR</w:t>
      </w:r>
    </w:p>
    <w:p>
      <w:pPr>
        <w:spacing w:after="0" w:line="284" w:lineRule="exact"/>
        <w:rPr>
          <w:sz w:val="24"/>
          <w:szCs w:val="24"/>
          <w:color w:val="auto"/>
        </w:rPr>
      </w:pPr>
    </w:p>
    <w:tbl>
      <w:tblPr>
        <w:tblLayout w:type="fixed"/>
        <w:tblInd w:w="80" w:type="dxa"/>
        <w:tblCellMar>
          <w:top w:w="0" w:type="dxa"/>
          <w:left w:w="0" w:type="dxa"/>
          <w:bottom w:w="0" w:type="dxa"/>
          <w:right w:w="0" w:type="dxa"/>
        </w:tblCellMar>
      </w:tblPr>
      <w:tr>
        <w:trPr>
          <w:trHeight w:val="171"/>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02116</w:t>
            </w:r>
          </w:p>
        </w:tc>
      </w:tr>
      <w:tr>
        <w:trPr>
          <w:trHeight w:val="150"/>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1"/>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BridgeBio Oncology Therapeutics, Inc.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60" w:type="dxa"/>
            <w:vAlign w:val="bottom"/>
            <w:vMerge w:val="restart"/>
          </w:tcPr>
          <w:p>
            <w:pPr>
              <w:spacing w:after="0"/>
              <w:rPr>
                <w:sz w:val="12"/>
                <w:szCs w:val="12"/>
                <w:color w:val="auto"/>
              </w:rPr>
            </w:pPr>
          </w:p>
        </w:tc>
        <w:tc>
          <w:tcPr>
            <w:tcW w:w="328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BBOT </w:t>
            </w:r>
            <w:r>
              <w:rPr>
                <w:rFonts w:ascii="Times New Roman" w:cs="Times New Roman" w:eastAsia="Times New Roman" w:hAnsi="Times New Roman"/>
                <w:sz w:val="20"/>
                <w:szCs w:val="20"/>
                <w:color w:val="000000"/>
              </w:rPr>
              <w:t>]</w:t>
            </w:r>
          </w:p>
        </w:tc>
        <w:tc>
          <w:tcPr>
            <w:tcW w:w="4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60" w:type="dxa"/>
            <w:vAlign w:val="bottom"/>
            <w:vMerge w:val="continue"/>
          </w:tcPr>
          <w:p>
            <w:pPr>
              <w:spacing w:after="0"/>
              <w:rPr>
                <w:sz w:val="10"/>
                <w:szCs w:val="10"/>
                <w:color w:val="auto"/>
              </w:rPr>
            </w:pPr>
          </w:p>
        </w:tc>
        <w:tc>
          <w:tcPr>
            <w:tcW w:w="328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31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3100" w:type="dxa"/>
            <w:vAlign w:val="bottom"/>
            <w:gridSpan w:val="2"/>
          </w:tcPr>
          <w:p>
            <w:pPr>
              <w:ind w:left="900"/>
              <w:spacing w:after="0" w:line="182" w:lineRule="exact"/>
              <w:rPr>
                <w:sz w:val="20"/>
                <w:szCs w:val="20"/>
                <w:color w:val="auto"/>
              </w:rPr>
            </w:pPr>
            <w:r>
              <w:rPr>
                <w:rFonts w:ascii="Times New Roman" w:cs="Times New Roman" w:eastAsia="Times New Roman" w:hAnsi="Times New Roman"/>
                <w:sz w:val="17"/>
                <w:szCs w:val="17"/>
                <w:color w:val="0000FF"/>
              </w:rPr>
              <w:t>Former Director</w:t>
            </w:r>
          </w:p>
        </w:tc>
        <w:tc>
          <w:tcPr>
            <w:tcW w:w="0" w:type="dxa"/>
            <w:vAlign w:val="bottom"/>
          </w:tcPr>
          <w:p>
            <w:pPr>
              <w:spacing w:after="0"/>
              <w:rPr>
                <w:sz w:val="1"/>
                <w:szCs w:val="1"/>
                <w:color w:val="auto"/>
              </w:rPr>
            </w:pPr>
          </w:p>
        </w:tc>
      </w:tr>
      <w:tr>
        <w:trPr>
          <w:trHeight w:val="218"/>
        </w:trPr>
        <w:tc>
          <w:tcPr>
            <w:tcW w:w="33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08/11/2025</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31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58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6"/>
              <w:spacing w:after="0"/>
              <w:rPr>
                <w:sz w:val="20"/>
                <w:szCs w:val="20"/>
                <w:color w:val="auto"/>
              </w:rPr>
            </w:pPr>
            <w:r>
              <w:rPr>
                <w:rFonts w:ascii="Times New Roman" w:cs="Times New Roman" w:eastAsia="Times New Roman" w:hAnsi="Times New Roman"/>
                <w:sz w:val="17"/>
                <w:szCs w:val="17"/>
                <w:color w:val="0000FF"/>
                <w:w w:val="98"/>
              </w:rPr>
              <w:t>08/11/2025</w:t>
            </w:r>
          </w:p>
        </w:tc>
        <w:tc>
          <w:tcPr>
            <w:tcW w:w="9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4"/>
              </w:rPr>
              <w:t>30,000</w:t>
            </w:r>
          </w:p>
        </w:tc>
        <w:tc>
          <w:tcPr>
            <w:tcW w:w="5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9"/>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30,000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2"/>
              <w:spacing w:after="0" w:line="130"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92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right"/>
              <w:ind w:right="19"/>
              <w:spacing w:after="0"/>
              <w:rPr>
                <w:sz w:val="20"/>
                <w:szCs w:val="20"/>
                <w:color w:val="auto"/>
              </w:rPr>
            </w:pPr>
            <w:r>
              <w:rPr>
                <w:rFonts w:ascii="Times New Roman" w:cs="Times New Roman" w:eastAsia="Times New Roman" w:hAnsi="Times New Roman"/>
                <w:sz w:val="17"/>
                <w:szCs w:val="17"/>
                <w:color w:val="0000FF"/>
                <w:w w:val="94"/>
              </w:rPr>
              <w:t>30,000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08/11/2025</w:t>
            </w:r>
          </w:p>
        </w:tc>
        <w:tc>
          <w:tcPr>
            <w:tcW w:w="1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2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30,000</w:t>
            </w:r>
          </w:p>
        </w:tc>
        <w:tc>
          <w:tcPr>
            <w:tcW w:w="8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8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-2021840</wp:posOffset>
            </wp:positionV>
            <wp:extent cx="29210" cy="2026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69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and prior to the closing of the business combination between the Issuer (which was formerly known as Helix Acquisition Corp. II, "Helix") and TheRas, Inc., among other things, (i) each of Helix's Class B ordinary shares converted into one Helix Class A ordinary share, on a one-for-one basis, as described under the heading "Description of Securities" in Helix's Registration Statement on Form S-1 (File No. 333-276591), (ii) Helix migrated to and domesticated as a Delaware corporation in accordance with Section 388 of the Delaware General Corporation Law, as amended, and the Cayman Islands Companies Act (As Revised) (the "Domestication"), and (iii) as a result of the Domestication, each Class A ordinary share of Helix converted into one share of the Issuer's common stock, on a one-for-one basis. Prior to such conversion, the Helix Class B ordinary shares had no expiration date.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Reporting person was a director of Helix prior to the Domestication and resigned from such role effective as of August 11, 2025, immediately prior to the Domestication.</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Mark C. McKenna</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08/11/2025</w:t>
            </w:r>
          </w:p>
        </w:tc>
      </w:tr>
      <w:tr>
        <w:trPr>
          <w:trHeight w:val="20"/>
        </w:trPr>
        <w:tc>
          <w:tcPr>
            <w:tcW w:w="1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9623" TargetMode="External"/><Relationship Id="rId14" Type="http://schemas.openxmlformats.org/officeDocument/2006/relationships/hyperlink" Target="http://www.sec.gov/cgi-bin/browse-edgar?action=getcompany&amp;CIK=0001869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2025-08-11T16:13:13Z</dcterms:created>
  <dcterms:modified xsi:type="dcterms:W3CDTF">2025-08-11T16:13:13Z</dcterms:modified>
</cp:coreProperties>
</file>